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44" w:rsidRDefault="00BE796C" w:rsidP="00BE796C">
      <w:pPr>
        <w:widowControl/>
        <w:rPr>
          <w:rFonts w:ascii="Arial" w:hAnsi="Arial" w:cs="Arial"/>
          <w:sz w:val="28"/>
          <w:szCs w:val="28"/>
          <w:lang w:val="fr-CA"/>
        </w:rPr>
      </w:pPr>
      <w:r>
        <w:rPr>
          <w:rFonts w:ascii="Arial" w:hAnsi="Arial" w:cs="Arial"/>
          <w:sz w:val="28"/>
          <w:szCs w:val="28"/>
          <w:lang w:val="fr-CA"/>
        </w:rPr>
        <w:t xml:space="preserve">DÉBUT PAGE </w:t>
      </w:r>
      <w:r w:rsidR="00307D44" w:rsidRPr="00BE796C">
        <w:rPr>
          <w:rFonts w:ascii="Arial" w:hAnsi="Arial" w:cs="Arial"/>
          <w:sz w:val="28"/>
          <w:szCs w:val="28"/>
          <w:lang w:val="fr-CA"/>
        </w:rPr>
        <w:t>1</w:t>
      </w:r>
    </w:p>
    <w:p w:rsidR="00BE796C" w:rsidRPr="00BE796C" w:rsidRDefault="00BE796C" w:rsidP="00BE796C">
      <w:pPr>
        <w:widowControl/>
        <w:rPr>
          <w:rFonts w:ascii="Arial" w:hAnsi="Arial" w:cs="Arial"/>
          <w:sz w:val="28"/>
          <w:szCs w:val="28"/>
          <w:lang w:val="fr-CA"/>
        </w:rPr>
      </w:pPr>
    </w:p>
    <w:p w:rsidR="00D4541F" w:rsidRDefault="00D4541F" w:rsidP="00BE796C">
      <w:pPr>
        <w:widowControl/>
        <w:rPr>
          <w:rFonts w:ascii="Arial" w:hAnsi="Arial" w:cs="Arial"/>
          <w:sz w:val="28"/>
          <w:szCs w:val="28"/>
          <w:lang w:val="fr-CA"/>
        </w:rPr>
      </w:pPr>
    </w:p>
    <w:p w:rsidR="00D4541F" w:rsidRDefault="00307D44" w:rsidP="00D4541F">
      <w:pPr>
        <w:pStyle w:val="Titre1"/>
      </w:pPr>
      <w:r w:rsidRPr="00BE796C">
        <w:t>ACTI</w:t>
      </w:r>
    </w:p>
    <w:p w:rsidR="00D4541F" w:rsidRPr="00BE796C" w:rsidRDefault="00D4541F" w:rsidP="00D4541F">
      <w:pPr>
        <w:pStyle w:val="Titre1"/>
      </w:pPr>
      <w:r>
        <w:t>ASSOCIATION CANADIENNE DE LA TECHNOLOGIE DE L’INFORMATION</w:t>
      </w:r>
    </w:p>
    <w:p w:rsidR="00D4541F" w:rsidRDefault="00D4541F" w:rsidP="00BE796C">
      <w:pPr>
        <w:widowControl/>
        <w:rPr>
          <w:rFonts w:ascii="Arial" w:hAnsi="Arial" w:cs="Arial"/>
          <w:sz w:val="28"/>
          <w:szCs w:val="28"/>
          <w:lang w:val="fr-CA"/>
        </w:rPr>
      </w:pPr>
    </w:p>
    <w:p w:rsidR="00D4541F" w:rsidRDefault="00D4541F" w:rsidP="00BE796C">
      <w:pPr>
        <w:widowControl/>
        <w:rPr>
          <w:rFonts w:ascii="Arial" w:hAnsi="Arial" w:cs="Arial"/>
          <w:sz w:val="28"/>
          <w:szCs w:val="28"/>
          <w:lang w:val="fr-CA"/>
        </w:rPr>
      </w:pPr>
    </w:p>
    <w:p w:rsidR="00307D44" w:rsidRDefault="00D4541F" w:rsidP="00D4541F">
      <w:pPr>
        <w:pStyle w:val="Titre1"/>
      </w:pPr>
      <w:r>
        <w:t>ITI</w:t>
      </w:r>
    </w:p>
    <w:p w:rsidR="00D4541F" w:rsidRPr="00BE796C" w:rsidRDefault="00D4541F" w:rsidP="00BE796C">
      <w:pPr>
        <w:widowControl/>
        <w:rPr>
          <w:rFonts w:ascii="Arial" w:hAnsi="Arial" w:cs="Arial"/>
          <w:sz w:val="28"/>
          <w:szCs w:val="28"/>
          <w:lang w:val="fr-CA"/>
        </w:rPr>
      </w:pPr>
    </w:p>
    <w:p w:rsidR="00307D44" w:rsidRDefault="00307D44" w:rsidP="00BE796C">
      <w:pPr>
        <w:widowControl/>
        <w:rPr>
          <w:rFonts w:ascii="Arial" w:hAnsi="Arial" w:cs="Arial"/>
          <w:sz w:val="28"/>
          <w:szCs w:val="28"/>
          <w:lang w:val="fr-CA"/>
        </w:rPr>
      </w:pPr>
      <w:r w:rsidRPr="00BE796C">
        <w:rPr>
          <w:rFonts w:ascii="Arial" w:hAnsi="Arial" w:cs="Arial"/>
          <w:sz w:val="28"/>
          <w:szCs w:val="28"/>
          <w:lang w:val="fr-CA"/>
        </w:rPr>
        <w:t>Destinataire</w:t>
      </w:r>
      <w:r w:rsidR="00BE796C">
        <w:rPr>
          <w:rFonts w:ascii="Arial" w:hAnsi="Arial" w:cs="Arial"/>
          <w:sz w:val="28"/>
          <w:szCs w:val="28"/>
          <w:lang w:val="fr-CA"/>
        </w:rPr>
        <w:t> :</w:t>
      </w:r>
      <w:r w:rsidRPr="00BE796C">
        <w:rPr>
          <w:rFonts w:ascii="Arial" w:hAnsi="Arial" w:cs="Arial"/>
          <w:sz w:val="28"/>
          <w:szCs w:val="28"/>
          <w:lang w:val="fr-CA"/>
        </w:rPr>
        <w:t xml:space="preserve"> Comité permanent des ressources humaines, du développement des compéte</w:t>
      </w:r>
      <w:r w:rsidR="00D4541F">
        <w:rPr>
          <w:rFonts w:ascii="Arial" w:hAnsi="Arial" w:cs="Arial"/>
          <w:sz w:val="28"/>
          <w:szCs w:val="28"/>
          <w:lang w:val="fr-CA"/>
        </w:rPr>
        <w:t>nces et du développement social</w:t>
      </w:r>
    </w:p>
    <w:p w:rsidR="00D4541F" w:rsidRPr="00BE796C" w:rsidRDefault="00D4541F" w:rsidP="00BE796C">
      <w:pPr>
        <w:widowControl/>
        <w:rPr>
          <w:rFonts w:ascii="Arial" w:hAnsi="Arial" w:cs="Arial"/>
          <w:sz w:val="28"/>
          <w:szCs w:val="28"/>
          <w:lang w:val="fr-CA"/>
        </w:rPr>
      </w:pPr>
    </w:p>
    <w:p w:rsidR="00307D44" w:rsidRDefault="00307D44" w:rsidP="00BE796C">
      <w:pPr>
        <w:widowControl/>
        <w:rPr>
          <w:rFonts w:ascii="Arial" w:hAnsi="Arial" w:cs="Arial"/>
          <w:sz w:val="28"/>
          <w:szCs w:val="28"/>
          <w:lang w:val="fr-CA"/>
        </w:rPr>
      </w:pPr>
      <w:r w:rsidRPr="00BE796C">
        <w:rPr>
          <w:rFonts w:ascii="Arial" w:hAnsi="Arial" w:cs="Arial"/>
          <w:sz w:val="28"/>
          <w:szCs w:val="28"/>
          <w:lang w:val="fr-CA"/>
        </w:rPr>
        <w:t>Date</w:t>
      </w:r>
      <w:r w:rsidR="00BE796C">
        <w:rPr>
          <w:rFonts w:ascii="Arial" w:hAnsi="Arial" w:cs="Arial"/>
          <w:sz w:val="28"/>
          <w:szCs w:val="28"/>
          <w:lang w:val="fr-CA"/>
        </w:rPr>
        <w:t> :</w:t>
      </w:r>
      <w:r w:rsidR="00D4541F">
        <w:rPr>
          <w:rFonts w:ascii="Arial" w:hAnsi="Arial" w:cs="Arial"/>
          <w:sz w:val="28"/>
          <w:szCs w:val="28"/>
          <w:lang w:val="fr-CA"/>
        </w:rPr>
        <w:t xml:space="preserve"> Le 24 octobre 2018</w:t>
      </w:r>
    </w:p>
    <w:p w:rsidR="00D4541F" w:rsidRPr="00BE796C" w:rsidRDefault="00D4541F" w:rsidP="00BE796C">
      <w:pPr>
        <w:widowControl/>
        <w:rPr>
          <w:rFonts w:ascii="Arial" w:hAnsi="Arial" w:cs="Arial"/>
          <w:sz w:val="28"/>
          <w:szCs w:val="28"/>
          <w:lang w:val="fr-CA"/>
        </w:rPr>
      </w:pPr>
    </w:p>
    <w:p w:rsidR="00307D44" w:rsidRDefault="00307D44" w:rsidP="00BE796C">
      <w:pPr>
        <w:widowControl/>
        <w:rPr>
          <w:rFonts w:ascii="Arial" w:hAnsi="Arial" w:cs="Arial"/>
          <w:sz w:val="28"/>
          <w:szCs w:val="28"/>
          <w:lang w:val="fr-CA"/>
        </w:rPr>
      </w:pPr>
      <w:r w:rsidRPr="00BE796C">
        <w:rPr>
          <w:rFonts w:ascii="Arial" w:hAnsi="Arial" w:cs="Arial"/>
          <w:sz w:val="28"/>
          <w:szCs w:val="28"/>
          <w:lang w:val="fr-CA"/>
        </w:rPr>
        <w:t xml:space="preserve">L’Association canadienne de la technologie de l’information (ACTI) et l’Information </w:t>
      </w:r>
      <w:proofErr w:type="spellStart"/>
      <w:r w:rsidRPr="00BE796C">
        <w:rPr>
          <w:rFonts w:ascii="Arial" w:hAnsi="Arial" w:cs="Arial"/>
          <w:sz w:val="28"/>
          <w:szCs w:val="28"/>
          <w:lang w:val="fr-CA"/>
        </w:rPr>
        <w:t>Technology</w:t>
      </w:r>
      <w:proofErr w:type="spellEnd"/>
      <w:r w:rsidRPr="00BE796C">
        <w:rPr>
          <w:rFonts w:ascii="Arial" w:hAnsi="Arial" w:cs="Arial"/>
          <w:sz w:val="28"/>
          <w:szCs w:val="28"/>
          <w:lang w:val="fr-CA"/>
        </w:rPr>
        <w:t xml:space="preserve"> </w:t>
      </w:r>
      <w:proofErr w:type="spellStart"/>
      <w:r w:rsidRPr="00BE796C">
        <w:rPr>
          <w:rFonts w:ascii="Arial" w:hAnsi="Arial" w:cs="Arial"/>
          <w:sz w:val="28"/>
          <w:szCs w:val="28"/>
          <w:lang w:val="fr-CA"/>
        </w:rPr>
        <w:t>Industry</w:t>
      </w:r>
      <w:proofErr w:type="spellEnd"/>
      <w:r w:rsidRPr="00BE796C">
        <w:rPr>
          <w:rFonts w:ascii="Arial" w:hAnsi="Arial" w:cs="Arial"/>
          <w:sz w:val="28"/>
          <w:szCs w:val="28"/>
          <w:lang w:val="fr-CA"/>
        </w:rPr>
        <w:t xml:space="preserve"> Council (ITI) remercient le Comité permanent des ressources humaines, du développement des compétences et du développement social (HUMA) de leur donner l’occasion de présenter un mémoire conjoint sur la Loi canadienne sur l’accessibilité (projet de loi C-81 ou la Loi). Nous sommes totalement d’accord avec l’objectif de la législation, soit </w:t>
      </w:r>
      <w:r w:rsidR="00BE796C">
        <w:rPr>
          <w:rFonts w:ascii="Arial" w:hAnsi="Arial" w:cs="Arial"/>
          <w:sz w:val="28"/>
          <w:szCs w:val="28"/>
          <w:lang w:val="fr-CA"/>
        </w:rPr>
        <w:t>« </w:t>
      </w:r>
      <w:r w:rsidRPr="00BE796C">
        <w:rPr>
          <w:rFonts w:ascii="Arial" w:hAnsi="Arial" w:cs="Arial"/>
          <w:sz w:val="28"/>
          <w:szCs w:val="28"/>
          <w:lang w:val="fr-CA"/>
        </w:rPr>
        <w:t>favoriser la participation pleine et égale dans la société de toutes les personnes, en particulier les personnes handicapées</w:t>
      </w:r>
      <w:r w:rsidR="00BE796C">
        <w:rPr>
          <w:rFonts w:ascii="Arial" w:hAnsi="Arial" w:cs="Arial"/>
          <w:sz w:val="28"/>
          <w:szCs w:val="28"/>
          <w:lang w:val="fr-CA"/>
        </w:rPr>
        <w:t> »</w:t>
      </w:r>
      <w:r w:rsidRPr="00BE796C">
        <w:rPr>
          <w:rFonts w:ascii="Arial" w:hAnsi="Arial" w:cs="Arial"/>
          <w:sz w:val="28"/>
          <w:szCs w:val="28"/>
          <w:lang w:val="fr-CA"/>
        </w:rPr>
        <w:t>, et c’est avec plaisir que nous vous faisons part de notre point de vue et de nos recommandations c</w:t>
      </w:r>
      <w:r w:rsidR="00D4541F">
        <w:rPr>
          <w:rFonts w:ascii="Arial" w:hAnsi="Arial" w:cs="Arial"/>
          <w:sz w:val="28"/>
          <w:szCs w:val="28"/>
          <w:lang w:val="fr-CA"/>
        </w:rPr>
        <w:t>oncernant cette loi importante.</w:t>
      </w:r>
    </w:p>
    <w:p w:rsidR="00D4541F" w:rsidRPr="00BE796C" w:rsidRDefault="00D4541F" w:rsidP="00BE796C">
      <w:pPr>
        <w:widowControl/>
        <w:rPr>
          <w:rFonts w:ascii="Arial" w:hAnsi="Arial" w:cs="Arial"/>
          <w:sz w:val="28"/>
          <w:szCs w:val="28"/>
          <w:lang w:val="fr-CA"/>
        </w:rPr>
      </w:pPr>
    </w:p>
    <w:p w:rsidR="00307D44" w:rsidRDefault="00307D44" w:rsidP="00BE796C">
      <w:pPr>
        <w:widowControl/>
        <w:rPr>
          <w:rFonts w:ascii="Arial" w:hAnsi="Arial" w:cs="Arial"/>
          <w:sz w:val="28"/>
          <w:szCs w:val="28"/>
          <w:lang w:val="fr-CA"/>
        </w:rPr>
      </w:pPr>
      <w:r w:rsidRPr="00BE796C">
        <w:rPr>
          <w:rFonts w:ascii="Arial" w:hAnsi="Arial" w:cs="Arial"/>
          <w:sz w:val="28"/>
          <w:szCs w:val="28"/>
          <w:lang w:val="fr-CA"/>
        </w:rPr>
        <w:t xml:space="preserve">Les technologies de l’information et des communications (TIC) sont </w:t>
      </w:r>
      <w:proofErr w:type="gramStart"/>
      <w:r w:rsidRPr="00BE796C">
        <w:rPr>
          <w:rFonts w:ascii="Arial" w:hAnsi="Arial" w:cs="Arial"/>
          <w:sz w:val="28"/>
          <w:szCs w:val="28"/>
          <w:lang w:val="fr-CA"/>
        </w:rPr>
        <w:t>essentielles</w:t>
      </w:r>
      <w:proofErr w:type="gramEnd"/>
      <w:r w:rsidRPr="00BE796C">
        <w:rPr>
          <w:rFonts w:ascii="Arial" w:hAnsi="Arial" w:cs="Arial"/>
          <w:sz w:val="28"/>
          <w:szCs w:val="28"/>
          <w:lang w:val="fr-CA"/>
        </w:rPr>
        <w:t xml:space="preserve"> pour aider les personnes handicapées à réaliser leur plein potentiel, que ce soit au travail, à l’école ou dans leurs loisirs. Puisque la transition vers des sociétés numériques se poursuit à grande vitesse, les TIC accessibles joueront un rôle de plus en plus important en permettant à tous les citoyens de participer pleinement et de mettre leurs idées et leurs talents à contribution dans </w:t>
      </w:r>
      <w:r w:rsidR="00D4541F">
        <w:rPr>
          <w:rFonts w:ascii="Arial" w:hAnsi="Arial" w:cs="Arial"/>
          <w:sz w:val="28"/>
          <w:szCs w:val="28"/>
          <w:lang w:val="fr-CA"/>
        </w:rPr>
        <w:t>leur collectivité et leur pays.</w:t>
      </w:r>
    </w:p>
    <w:p w:rsidR="00D4541F" w:rsidRPr="00BE796C" w:rsidRDefault="00D4541F" w:rsidP="00BE796C">
      <w:pPr>
        <w:widowControl/>
        <w:rPr>
          <w:rFonts w:ascii="Arial" w:hAnsi="Arial" w:cs="Arial"/>
          <w:sz w:val="28"/>
          <w:szCs w:val="28"/>
          <w:lang w:val="fr-CA"/>
        </w:rPr>
      </w:pPr>
    </w:p>
    <w:p w:rsidR="00307D44" w:rsidRDefault="00307D44" w:rsidP="00BE796C">
      <w:pPr>
        <w:widowControl/>
        <w:rPr>
          <w:rFonts w:ascii="Arial" w:hAnsi="Arial" w:cs="Arial"/>
          <w:sz w:val="28"/>
          <w:szCs w:val="28"/>
          <w:lang w:val="fr-CA"/>
        </w:rPr>
      </w:pPr>
      <w:r w:rsidRPr="00BE796C">
        <w:rPr>
          <w:rFonts w:ascii="Arial" w:hAnsi="Arial" w:cs="Arial"/>
          <w:sz w:val="28"/>
          <w:szCs w:val="28"/>
          <w:lang w:val="fr-CA"/>
        </w:rPr>
        <w:t xml:space="preserve">Les membres de l’ACTI et de l’ITI possèdent de très nombreuses années </w:t>
      </w:r>
      <w:proofErr w:type="gramStart"/>
      <w:r w:rsidRPr="00BE796C">
        <w:rPr>
          <w:rFonts w:ascii="Arial" w:hAnsi="Arial" w:cs="Arial"/>
          <w:sz w:val="28"/>
          <w:szCs w:val="28"/>
          <w:lang w:val="fr-CA"/>
        </w:rPr>
        <w:t>d’expérience</w:t>
      </w:r>
      <w:proofErr w:type="gramEnd"/>
      <w:r w:rsidRPr="00BE796C">
        <w:rPr>
          <w:rFonts w:ascii="Arial" w:hAnsi="Arial" w:cs="Arial"/>
          <w:sz w:val="28"/>
          <w:szCs w:val="28"/>
          <w:lang w:val="fr-CA"/>
        </w:rPr>
        <w:t xml:space="preserve"> du travail avec des personnes handicapées et d’autres intervenants pour s’assurer que </w:t>
      </w:r>
      <w:r w:rsidRPr="00D4541F">
        <w:rPr>
          <w:rFonts w:ascii="Arial" w:hAnsi="Arial" w:cs="Arial"/>
          <w:sz w:val="28"/>
          <w:szCs w:val="28"/>
          <w:u w:val="single"/>
          <w:lang w:val="fr-CA"/>
        </w:rPr>
        <w:t>toutes</w:t>
      </w:r>
      <w:r w:rsidRPr="00BE796C">
        <w:rPr>
          <w:rFonts w:ascii="Arial" w:hAnsi="Arial" w:cs="Arial"/>
          <w:sz w:val="28"/>
          <w:szCs w:val="28"/>
          <w:lang w:val="fr-CA"/>
        </w:rPr>
        <w:t xml:space="preserve"> les personnes puissent se servir et profiter des TIC. Nous avons eu le plaisir de collaborer avec de nombreux </w:t>
      </w:r>
      <w:r w:rsidRPr="00BE796C">
        <w:rPr>
          <w:rFonts w:ascii="Arial" w:hAnsi="Arial" w:cs="Arial"/>
          <w:sz w:val="28"/>
          <w:szCs w:val="28"/>
          <w:lang w:val="fr-CA"/>
        </w:rPr>
        <w:lastRenderedPageBreak/>
        <w:t xml:space="preserve">experts canadiens dans l’élaboration de quelques-unes des normes d’accessibilité les plus importantes mises en </w:t>
      </w:r>
      <w:proofErr w:type="spellStart"/>
      <w:r w:rsidRPr="00BE796C">
        <w:rPr>
          <w:rFonts w:ascii="Arial" w:hAnsi="Arial" w:cs="Arial"/>
          <w:sz w:val="28"/>
          <w:szCs w:val="28"/>
          <w:lang w:val="fr-CA"/>
        </w:rPr>
        <w:t>oeuvre</w:t>
      </w:r>
      <w:proofErr w:type="spellEnd"/>
      <w:r w:rsidRPr="00BE796C">
        <w:rPr>
          <w:rFonts w:ascii="Arial" w:hAnsi="Arial" w:cs="Arial"/>
          <w:sz w:val="28"/>
          <w:szCs w:val="28"/>
          <w:lang w:val="fr-CA"/>
        </w:rPr>
        <w:t xml:space="preserve"> dans le monde aujourd’hui. Citons, par exemple, la norme W3C</w:t>
      </w:r>
      <w:r w:rsidR="00D4541F">
        <w:rPr>
          <w:rFonts w:ascii="Arial" w:hAnsi="Arial" w:cs="Arial"/>
          <w:sz w:val="28"/>
          <w:szCs w:val="28"/>
          <w:lang w:val="fr-CA"/>
        </w:rPr>
        <w:t> </w:t>
      </w:r>
      <w:r w:rsidRPr="00BE796C">
        <w:rPr>
          <w:rFonts w:ascii="Arial" w:hAnsi="Arial" w:cs="Arial"/>
          <w:sz w:val="28"/>
          <w:szCs w:val="28"/>
          <w:lang w:val="fr-CA"/>
        </w:rPr>
        <w:t>/</w:t>
      </w:r>
      <w:r w:rsidR="00D4541F">
        <w:rPr>
          <w:rFonts w:ascii="Arial" w:hAnsi="Arial" w:cs="Arial"/>
          <w:sz w:val="28"/>
          <w:szCs w:val="28"/>
          <w:lang w:val="fr-CA"/>
        </w:rPr>
        <w:t> </w:t>
      </w:r>
      <w:r w:rsidRPr="00BE796C">
        <w:rPr>
          <w:rFonts w:ascii="Arial" w:hAnsi="Arial" w:cs="Arial"/>
          <w:sz w:val="28"/>
          <w:szCs w:val="28"/>
          <w:lang w:val="fr-CA"/>
        </w:rPr>
        <w:t xml:space="preserve">WAI Web </w:t>
      </w:r>
      <w:proofErr w:type="spellStart"/>
      <w:r w:rsidRPr="00BE796C">
        <w:rPr>
          <w:rFonts w:ascii="Arial" w:hAnsi="Arial" w:cs="Arial"/>
          <w:sz w:val="28"/>
          <w:szCs w:val="28"/>
          <w:lang w:val="fr-CA"/>
        </w:rPr>
        <w:t>Accessibility</w:t>
      </w:r>
      <w:proofErr w:type="spellEnd"/>
      <w:r w:rsidRPr="00BE796C">
        <w:rPr>
          <w:rFonts w:ascii="Arial" w:hAnsi="Arial" w:cs="Arial"/>
          <w:sz w:val="28"/>
          <w:szCs w:val="28"/>
          <w:lang w:val="fr-CA"/>
        </w:rPr>
        <w:t xml:space="preserve"> Content Guidelines (appelée aussi ISO</w:t>
      </w:r>
      <w:r w:rsidR="00D4541F">
        <w:rPr>
          <w:rFonts w:ascii="Arial" w:hAnsi="Arial" w:cs="Arial"/>
          <w:sz w:val="28"/>
          <w:szCs w:val="28"/>
          <w:lang w:val="fr-CA"/>
        </w:rPr>
        <w:t> </w:t>
      </w:r>
      <w:r w:rsidRPr="00BE796C">
        <w:rPr>
          <w:rFonts w:ascii="Arial" w:hAnsi="Arial" w:cs="Arial"/>
          <w:sz w:val="28"/>
          <w:szCs w:val="28"/>
          <w:lang w:val="fr-CA"/>
        </w:rPr>
        <w:t>/</w:t>
      </w:r>
      <w:r w:rsidR="00D4541F">
        <w:rPr>
          <w:rFonts w:ascii="Arial" w:hAnsi="Arial" w:cs="Arial"/>
          <w:sz w:val="28"/>
          <w:szCs w:val="28"/>
          <w:lang w:val="fr-CA"/>
        </w:rPr>
        <w:t> </w:t>
      </w:r>
      <w:r w:rsidRPr="00BE796C">
        <w:rPr>
          <w:rFonts w:ascii="Arial" w:hAnsi="Arial" w:cs="Arial"/>
          <w:sz w:val="28"/>
          <w:szCs w:val="28"/>
          <w:lang w:val="fr-CA"/>
        </w:rPr>
        <w:t>EIC 40500</w:t>
      </w:r>
      <w:r w:rsidR="00BE796C">
        <w:rPr>
          <w:rFonts w:ascii="Arial" w:hAnsi="Arial" w:cs="Arial"/>
          <w:sz w:val="28"/>
          <w:szCs w:val="28"/>
          <w:lang w:val="fr-CA"/>
        </w:rPr>
        <w:t> :</w:t>
      </w:r>
      <w:r w:rsidRPr="00BE796C">
        <w:rPr>
          <w:rFonts w:ascii="Arial" w:hAnsi="Arial" w:cs="Arial"/>
          <w:sz w:val="28"/>
          <w:szCs w:val="28"/>
          <w:lang w:val="fr-CA"/>
        </w:rPr>
        <w:t xml:space="preserve">2012), qui a déjà été adoptée par l’Ontario, ainsi que par l’Australie, l’Union européenne et les États-Unis. Dans toutes les normes et les engagements politiques, nous défendons une approche globale à l’égard de l’accessibilité aux TIC afin d’améliorer l’accès des consommateurs à de l’information et des services partout où ils voyagent, peu importe le territoire. C’est dans cette perspective que nous </w:t>
      </w:r>
      <w:r w:rsidR="00D4541F">
        <w:rPr>
          <w:rFonts w:ascii="Arial" w:hAnsi="Arial" w:cs="Arial"/>
          <w:sz w:val="28"/>
          <w:szCs w:val="28"/>
          <w:lang w:val="fr-CA"/>
        </w:rPr>
        <w:t>évaluons le projet de loi C</w:t>
      </w:r>
      <w:r w:rsidR="00D82CF5">
        <w:rPr>
          <w:rFonts w:ascii="Arial" w:hAnsi="Arial" w:cs="Arial"/>
          <w:sz w:val="28"/>
          <w:szCs w:val="28"/>
          <w:lang w:val="fr-CA"/>
        </w:rPr>
        <w:t>-</w:t>
      </w:r>
      <w:r w:rsidR="00D4541F">
        <w:rPr>
          <w:rFonts w:ascii="Arial" w:hAnsi="Arial" w:cs="Arial"/>
          <w:sz w:val="28"/>
          <w:szCs w:val="28"/>
          <w:lang w:val="fr-CA"/>
        </w:rPr>
        <w:t>81.</w:t>
      </w:r>
    </w:p>
    <w:p w:rsidR="00D4541F" w:rsidRPr="00BE796C" w:rsidRDefault="00D4541F" w:rsidP="00BE796C">
      <w:pPr>
        <w:widowControl/>
        <w:rPr>
          <w:rFonts w:ascii="Arial" w:hAnsi="Arial" w:cs="Arial"/>
          <w:sz w:val="28"/>
          <w:szCs w:val="28"/>
          <w:lang w:val="fr-CA"/>
        </w:rPr>
      </w:pPr>
    </w:p>
    <w:p w:rsidR="00307D44" w:rsidRDefault="00307D44" w:rsidP="00BE796C">
      <w:pPr>
        <w:widowControl/>
        <w:rPr>
          <w:rFonts w:ascii="Arial" w:hAnsi="Arial" w:cs="Arial"/>
          <w:sz w:val="28"/>
          <w:szCs w:val="28"/>
          <w:lang w:val="fr-CA"/>
        </w:rPr>
      </w:pPr>
      <w:r w:rsidRPr="00BE796C">
        <w:rPr>
          <w:rFonts w:ascii="Arial" w:hAnsi="Arial" w:cs="Arial"/>
          <w:sz w:val="28"/>
          <w:szCs w:val="28"/>
          <w:lang w:val="fr-CA"/>
        </w:rPr>
        <w:t xml:space="preserve">De façon générale, nous sommes d’avis que la Loi canadienne sur </w:t>
      </w:r>
      <w:proofErr w:type="gramStart"/>
      <w:r w:rsidRPr="00BE796C">
        <w:rPr>
          <w:rFonts w:ascii="Arial" w:hAnsi="Arial" w:cs="Arial"/>
          <w:sz w:val="28"/>
          <w:szCs w:val="28"/>
          <w:lang w:val="fr-CA"/>
        </w:rPr>
        <w:t>l’accessibilité</w:t>
      </w:r>
      <w:proofErr w:type="gramEnd"/>
      <w:r w:rsidRPr="00BE796C">
        <w:rPr>
          <w:rFonts w:ascii="Arial" w:hAnsi="Arial" w:cs="Arial"/>
          <w:sz w:val="28"/>
          <w:szCs w:val="28"/>
          <w:lang w:val="fr-CA"/>
        </w:rPr>
        <w:t xml:space="preserve"> est étroitement harmonisée aux objectifs stratégiques visés par les gouvernements d’autres pays. Elle trouve un juste équilibre entre les mandats politiques et l’innovation, évitant les exigences normatives qui pourraient limiter la capacité des entités et des personnes visées par la Loi de tirer profit des nouveaux services et technologies numériques pour répondre aux besoins du marché, y compris </w:t>
      </w:r>
      <w:r w:rsidR="00D4541F">
        <w:rPr>
          <w:rFonts w:ascii="Arial" w:hAnsi="Arial" w:cs="Arial"/>
          <w:sz w:val="28"/>
          <w:szCs w:val="28"/>
          <w:lang w:val="fr-CA"/>
        </w:rPr>
        <w:t>ceux des personnes handicapées.</w:t>
      </w:r>
    </w:p>
    <w:p w:rsidR="00D4541F" w:rsidRPr="00BE796C" w:rsidRDefault="00D4541F" w:rsidP="00BE796C">
      <w:pPr>
        <w:widowControl/>
        <w:rPr>
          <w:rFonts w:ascii="Arial" w:hAnsi="Arial" w:cs="Arial"/>
          <w:sz w:val="28"/>
          <w:szCs w:val="28"/>
          <w:lang w:val="fr-CA"/>
        </w:rPr>
      </w:pPr>
    </w:p>
    <w:p w:rsidR="00307D44" w:rsidRDefault="00D4541F" w:rsidP="00BE796C">
      <w:pPr>
        <w:widowControl/>
        <w:rPr>
          <w:rFonts w:ascii="Arial" w:hAnsi="Arial" w:cs="Arial"/>
          <w:sz w:val="28"/>
          <w:szCs w:val="28"/>
          <w:lang w:val="fr-CA"/>
        </w:rPr>
      </w:pPr>
      <w:r>
        <w:rPr>
          <w:rFonts w:ascii="Arial" w:hAnsi="Arial" w:cs="Arial"/>
          <w:sz w:val="28"/>
          <w:szCs w:val="28"/>
          <w:lang w:val="fr-CA"/>
        </w:rPr>
        <w:t>DÉBUT PAGE 2</w:t>
      </w:r>
    </w:p>
    <w:p w:rsidR="00D4541F" w:rsidRDefault="00D4541F" w:rsidP="00BE796C">
      <w:pPr>
        <w:widowControl/>
        <w:rPr>
          <w:rFonts w:ascii="Arial" w:hAnsi="Arial" w:cs="Arial"/>
          <w:sz w:val="28"/>
          <w:szCs w:val="28"/>
          <w:lang w:val="fr-CA"/>
        </w:rPr>
      </w:pPr>
    </w:p>
    <w:p w:rsidR="00D4541F" w:rsidRPr="00BE796C" w:rsidRDefault="00D4541F" w:rsidP="00BE796C">
      <w:pPr>
        <w:widowControl/>
        <w:rPr>
          <w:rFonts w:ascii="Arial" w:hAnsi="Arial" w:cs="Arial"/>
          <w:sz w:val="28"/>
          <w:szCs w:val="28"/>
          <w:lang w:val="fr-CA"/>
        </w:rPr>
      </w:pPr>
    </w:p>
    <w:p w:rsidR="00307D44" w:rsidRDefault="00307D44" w:rsidP="00D4541F">
      <w:pPr>
        <w:pStyle w:val="Titre2"/>
      </w:pPr>
      <w:r w:rsidRPr="00BE796C">
        <w:t>Partie 2</w:t>
      </w:r>
      <w:r w:rsidR="00BE796C">
        <w:t> :</w:t>
      </w:r>
      <w:r w:rsidRPr="00BE796C">
        <w:t xml:space="preserve"> Organisation canadienne d’élabor</w:t>
      </w:r>
      <w:r w:rsidR="00D4541F">
        <w:t>ation de normes d’accessibilité</w:t>
      </w:r>
    </w:p>
    <w:p w:rsidR="00D4541F" w:rsidRPr="00BE796C" w:rsidRDefault="00D4541F" w:rsidP="00BE796C">
      <w:pPr>
        <w:widowControl/>
        <w:rPr>
          <w:rFonts w:ascii="Arial" w:hAnsi="Arial" w:cs="Arial"/>
          <w:sz w:val="28"/>
          <w:szCs w:val="28"/>
          <w:lang w:val="fr-CA"/>
        </w:rPr>
      </w:pPr>
    </w:p>
    <w:p w:rsidR="00307D44" w:rsidRDefault="00307D44" w:rsidP="00BE796C">
      <w:pPr>
        <w:widowControl/>
        <w:rPr>
          <w:rFonts w:ascii="Arial" w:hAnsi="Arial" w:cs="Arial"/>
          <w:sz w:val="28"/>
          <w:szCs w:val="28"/>
          <w:lang w:val="fr-CA"/>
        </w:rPr>
      </w:pPr>
      <w:r w:rsidRPr="00BE796C">
        <w:rPr>
          <w:rFonts w:ascii="Arial" w:hAnsi="Arial" w:cs="Arial"/>
          <w:sz w:val="28"/>
          <w:szCs w:val="28"/>
          <w:lang w:val="fr-CA"/>
        </w:rPr>
        <w:t xml:space="preserve">Ce qui intéresse particulièrement nos membres, c’est la partie 2 de la Loi, qui établit l’Organisation canadienne d’élaboration de normes d’accessibilité (OCENA). La Loi accorde à la nouvelle entité diverses missions et attributions qui, à première vue, semblent avoir pour but de positionner l’OCENA comme une organisation d’élaboration de normes internationales. La Loi autorise l’OCENA à élaborer des normes d’accessibilité </w:t>
      </w:r>
      <w:r w:rsidR="00BE796C">
        <w:rPr>
          <w:rFonts w:ascii="Arial" w:hAnsi="Arial" w:cs="Arial"/>
          <w:sz w:val="28"/>
          <w:szCs w:val="28"/>
          <w:lang w:val="fr-CA"/>
        </w:rPr>
        <w:t>« </w:t>
      </w:r>
      <w:r w:rsidRPr="00BE796C">
        <w:rPr>
          <w:rFonts w:ascii="Arial" w:hAnsi="Arial" w:cs="Arial"/>
          <w:sz w:val="28"/>
          <w:szCs w:val="28"/>
          <w:lang w:val="fr-CA"/>
        </w:rPr>
        <w:t xml:space="preserve">pour toute personne ou toute entité, notamment tout gouvernement au Canada </w:t>
      </w:r>
      <w:r w:rsidRPr="00D4541F">
        <w:rPr>
          <w:rFonts w:ascii="Arial" w:hAnsi="Arial" w:cs="Arial"/>
          <w:i/>
          <w:sz w:val="28"/>
          <w:szCs w:val="28"/>
          <w:lang w:val="fr-CA"/>
        </w:rPr>
        <w:t>ou à l’étranger</w:t>
      </w:r>
      <w:r w:rsidR="00BE796C">
        <w:rPr>
          <w:rFonts w:ascii="Arial" w:hAnsi="Arial" w:cs="Arial"/>
          <w:sz w:val="28"/>
          <w:szCs w:val="28"/>
          <w:lang w:val="fr-CA"/>
        </w:rPr>
        <w:t> »</w:t>
      </w:r>
      <w:r w:rsidRPr="00BE796C">
        <w:rPr>
          <w:rFonts w:ascii="Arial" w:hAnsi="Arial" w:cs="Arial"/>
          <w:sz w:val="28"/>
          <w:szCs w:val="28"/>
          <w:lang w:val="fr-CA"/>
        </w:rPr>
        <w:t xml:space="preserve"> (partie 2, article 20, les italiques sont de nous). De toute évidence, l’OCENA sera une importante organisation d’élaboration de normes qui aura une incidence sur les entreprises canadiennes et non canadiennes, no</w:t>
      </w:r>
      <w:r w:rsidR="00D4541F">
        <w:rPr>
          <w:rFonts w:ascii="Arial" w:hAnsi="Arial" w:cs="Arial"/>
          <w:sz w:val="28"/>
          <w:szCs w:val="28"/>
          <w:lang w:val="fr-CA"/>
        </w:rPr>
        <w:t>tamment les entreprises de TIC.</w:t>
      </w:r>
    </w:p>
    <w:p w:rsidR="00D4541F" w:rsidRPr="00BE796C" w:rsidRDefault="00D4541F" w:rsidP="00BE796C">
      <w:pPr>
        <w:widowControl/>
        <w:rPr>
          <w:rFonts w:ascii="Arial" w:hAnsi="Arial" w:cs="Arial"/>
          <w:sz w:val="28"/>
          <w:szCs w:val="28"/>
          <w:lang w:val="fr-CA"/>
        </w:rPr>
      </w:pPr>
    </w:p>
    <w:p w:rsidR="00307D44" w:rsidRDefault="00307D44" w:rsidP="00BE796C">
      <w:pPr>
        <w:widowControl/>
        <w:rPr>
          <w:rFonts w:ascii="Arial" w:hAnsi="Arial" w:cs="Arial"/>
          <w:sz w:val="28"/>
          <w:szCs w:val="28"/>
          <w:lang w:val="fr-CA"/>
        </w:rPr>
      </w:pPr>
      <w:r w:rsidRPr="00BE796C">
        <w:rPr>
          <w:rFonts w:ascii="Arial" w:hAnsi="Arial" w:cs="Arial"/>
          <w:sz w:val="28"/>
          <w:szCs w:val="28"/>
          <w:lang w:val="fr-CA"/>
        </w:rPr>
        <w:lastRenderedPageBreak/>
        <w:t>Compte tenu de ce qui précède, nous sommes d’accord avec l’AODA Alliance, à savoir que la Loi doit être renforcée pour garantir l’ouverture et l’</w:t>
      </w:r>
      <w:proofErr w:type="spellStart"/>
      <w:r w:rsidRPr="00BE796C">
        <w:rPr>
          <w:rFonts w:ascii="Arial" w:hAnsi="Arial" w:cs="Arial"/>
          <w:sz w:val="28"/>
          <w:szCs w:val="28"/>
          <w:lang w:val="fr-CA"/>
        </w:rPr>
        <w:t>inclusivité</w:t>
      </w:r>
      <w:proofErr w:type="spellEnd"/>
      <w:r w:rsidRPr="00BE796C">
        <w:rPr>
          <w:rFonts w:ascii="Arial" w:hAnsi="Arial" w:cs="Arial"/>
          <w:sz w:val="28"/>
          <w:szCs w:val="28"/>
          <w:lang w:val="fr-CA"/>
        </w:rPr>
        <w:t xml:space="preserve"> de l’OCENA et de ses processus d’élaboration de normes</w:t>
      </w:r>
      <w:r w:rsidR="00D4541F">
        <w:rPr>
          <w:rFonts w:ascii="Arial" w:hAnsi="Arial" w:cs="Arial"/>
          <w:sz w:val="28"/>
          <w:szCs w:val="28"/>
          <w:lang w:val="fr-CA"/>
        </w:rPr>
        <w:t xml:space="preserve"> NOTE DE BAS DE PAGE </w:t>
      </w:r>
      <w:r w:rsidRPr="00BE796C">
        <w:rPr>
          <w:rFonts w:ascii="Arial" w:hAnsi="Arial" w:cs="Arial"/>
          <w:sz w:val="28"/>
          <w:szCs w:val="28"/>
          <w:lang w:val="fr-CA"/>
        </w:rPr>
        <w:t>1. Pour ce faire, nous croyons qu’il serait approprié et essentiel que l’OCENA soit tenue de présenter une demande d’accréditation auprès du Conseil canadien des normes (CCN)</w:t>
      </w:r>
      <w:r w:rsidR="00D4541F">
        <w:rPr>
          <w:rFonts w:ascii="Arial" w:hAnsi="Arial" w:cs="Arial"/>
          <w:sz w:val="28"/>
          <w:szCs w:val="28"/>
          <w:lang w:val="fr-CA"/>
        </w:rPr>
        <w:t xml:space="preserve"> NOTE DE BAS DE PAGE </w:t>
      </w:r>
      <w:r w:rsidRPr="00BE796C">
        <w:rPr>
          <w:rFonts w:ascii="Arial" w:hAnsi="Arial" w:cs="Arial"/>
          <w:sz w:val="28"/>
          <w:szCs w:val="28"/>
          <w:lang w:val="fr-CA"/>
        </w:rPr>
        <w:t xml:space="preserve">2, une société d’État fédérale chargée de promouvoir une normalisation canadienne efficiente et efficace. Nous croyons que le mandat et la mission du Conseil sont parfaitement compatibles avec les objectifs de la Loi et assureraient une ouverture et une </w:t>
      </w:r>
      <w:proofErr w:type="spellStart"/>
      <w:r w:rsidRPr="00BE796C">
        <w:rPr>
          <w:rFonts w:ascii="Arial" w:hAnsi="Arial" w:cs="Arial"/>
          <w:sz w:val="28"/>
          <w:szCs w:val="28"/>
          <w:lang w:val="fr-CA"/>
        </w:rPr>
        <w:t>inclusivité</w:t>
      </w:r>
      <w:proofErr w:type="spellEnd"/>
      <w:r w:rsidRPr="00BE796C">
        <w:rPr>
          <w:rFonts w:ascii="Arial" w:hAnsi="Arial" w:cs="Arial"/>
          <w:sz w:val="28"/>
          <w:szCs w:val="28"/>
          <w:lang w:val="fr-CA"/>
        </w:rPr>
        <w:t xml:space="preserve">. De plus, l’accréditation du CCN fournira une orientation essentielle à l’OCENA et contribuera à renforcer à l’échelle internationale la confiance dans </w:t>
      </w:r>
      <w:r w:rsidR="00D4541F">
        <w:rPr>
          <w:rFonts w:ascii="Arial" w:hAnsi="Arial" w:cs="Arial"/>
          <w:sz w:val="28"/>
          <w:szCs w:val="28"/>
          <w:lang w:val="fr-CA"/>
        </w:rPr>
        <w:t>ses procédures et publications.</w:t>
      </w:r>
    </w:p>
    <w:p w:rsidR="00D4541F" w:rsidRDefault="00D4541F" w:rsidP="00BE796C">
      <w:pPr>
        <w:widowControl/>
        <w:rPr>
          <w:rFonts w:ascii="Arial" w:hAnsi="Arial" w:cs="Arial"/>
          <w:sz w:val="28"/>
          <w:szCs w:val="28"/>
          <w:lang w:val="fr-CA"/>
        </w:rPr>
      </w:pPr>
    </w:p>
    <w:p w:rsidR="00D4541F" w:rsidRPr="00BE796C" w:rsidRDefault="00D4541F" w:rsidP="00BE796C">
      <w:pPr>
        <w:widowControl/>
        <w:rPr>
          <w:rFonts w:ascii="Arial" w:hAnsi="Arial" w:cs="Arial"/>
          <w:sz w:val="28"/>
          <w:szCs w:val="28"/>
          <w:lang w:val="fr-CA"/>
        </w:rPr>
      </w:pPr>
      <w:r>
        <w:rPr>
          <w:rFonts w:ascii="Arial" w:hAnsi="Arial" w:cs="Arial"/>
          <w:sz w:val="28"/>
          <w:szCs w:val="28"/>
          <w:lang w:val="fr-CA"/>
        </w:rPr>
        <w:t>DÉBUT NOTES DE BAS DE PAGE :</w:t>
      </w:r>
    </w:p>
    <w:p w:rsidR="00307D44" w:rsidRPr="00BE796C" w:rsidRDefault="00307D44" w:rsidP="00BE796C">
      <w:pPr>
        <w:widowControl/>
        <w:rPr>
          <w:rFonts w:ascii="Arial" w:hAnsi="Arial" w:cs="Arial"/>
          <w:sz w:val="28"/>
          <w:szCs w:val="28"/>
          <w:lang w:val="fr-CA"/>
        </w:rPr>
      </w:pPr>
      <w:r w:rsidRPr="00BE796C">
        <w:rPr>
          <w:rFonts w:ascii="Arial" w:hAnsi="Arial" w:cs="Arial"/>
          <w:sz w:val="28"/>
          <w:szCs w:val="28"/>
          <w:lang w:val="fr-CA"/>
        </w:rPr>
        <w:t>1</w:t>
      </w:r>
      <w:r w:rsidR="00D4541F">
        <w:rPr>
          <w:rFonts w:ascii="Arial" w:hAnsi="Arial" w:cs="Arial"/>
          <w:sz w:val="28"/>
          <w:szCs w:val="28"/>
          <w:lang w:val="fr-CA"/>
        </w:rPr>
        <w:t>.</w:t>
      </w:r>
      <w:r w:rsidRPr="00BE796C">
        <w:rPr>
          <w:rFonts w:ascii="Arial" w:hAnsi="Arial" w:cs="Arial"/>
          <w:sz w:val="28"/>
          <w:szCs w:val="28"/>
          <w:lang w:val="fr-CA"/>
        </w:rPr>
        <w:t xml:space="preserve"> Voir la page 7 du document intitulé </w:t>
      </w:r>
      <w:r w:rsidR="00337DC8">
        <w:rPr>
          <w:rFonts w:ascii="Arial" w:hAnsi="Arial" w:cs="Arial"/>
          <w:sz w:val="28"/>
          <w:szCs w:val="28"/>
          <w:lang w:val="fr-CA"/>
        </w:rPr>
        <w:t>«</w:t>
      </w:r>
      <w:proofErr w:type="spellStart"/>
      <w:r w:rsidRPr="00BE796C">
        <w:rPr>
          <w:rFonts w:ascii="Arial" w:hAnsi="Arial" w:cs="Arial"/>
          <w:sz w:val="28"/>
          <w:szCs w:val="28"/>
          <w:lang w:val="fr-CA"/>
        </w:rPr>
        <w:t>Brief</w:t>
      </w:r>
      <w:proofErr w:type="spellEnd"/>
      <w:r w:rsidRPr="00BE796C">
        <w:rPr>
          <w:rFonts w:ascii="Arial" w:hAnsi="Arial" w:cs="Arial"/>
          <w:sz w:val="28"/>
          <w:szCs w:val="28"/>
          <w:lang w:val="fr-CA"/>
        </w:rPr>
        <w:t xml:space="preserve"> to the </w:t>
      </w:r>
      <w:proofErr w:type="spellStart"/>
      <w:r w:rsidRPr="00BE796C">
        <w:rPr>
          <w:rFonts w:ascii="Arial" w:hAnsi="Arial" w:cs="Arial"/>
          <w:sz w:val="28"/>
          <w:szCs w:val="28"/>
          <w:lang w:val="fr-CA"/>
        </w:rPr>
        <w:t>Parliament</w:t>
      </w:r>
      <w:proofErr w:type="spellEnd"/>
      <w:r w:rsidRPr="00BE796C">
        <w:rPr>
          <w:rFonts w:ascii="Arial" w:hAnsi="Arial" w:cs="Arial"/>
          <w:sz w:val="28"/>
          <w:szCs w:val="28"/>
          <w:lang w:val="fr-CA"/>
        </w:rPr>
        <w:t xml:space="preserve"> of Canada on Bill C-81, the </w:t>
      </w:r>
      <w:proofErr w:type="spellStart"/>
      <w:r w:rsidRPr="00BE796C">
        <w:rPr>
          <w:rFonts w:ascii="Arial" w:hAnsi="Arial" w:cs="Arial"/>
          <w:sz w:val="28"/>
          <w:szCs w:val="28"/>
          <w:lang w:val="fr-CA"/>
        </w:rPr>
        <w:t>Proposed</w:t>
      </w:r>
      <w:proofErr w:type="spellEnd"/>
      <w:r w:rsidRPr="00BE796C">
        <w:rPr>
          <w:rFonts w:ascii="Arial" w:hAnsi="Arial" w:cs="Arial"/>
          <w:sz w:val="28"/>
          <w:szCs w:val="28"/>
          <w:lang w:val="fr-CA"/>
        </w:rPr>
        <w:t xml:space="preserve"> Accessible Canada </w:t>
      </w:r>
      <w:proofErr w:type="spellStart"/>
      <w:r w:rsidRPr="00BE796C">
        <w:rPr>
          <w:rFonts w:ascii="Arial" w:hAnsi="Arial" w:cs="Arial"/>
          <w:sz w:val="28"/>
          <w:szCs w:val="28"/>
          <w:lang w:val="fr-CA"/>
        </w:rPr>
        <w:t>Act</w:t>
      </w:r>
      <w:proofErr w:type="spellEnd"/>
      <w:r w:rsidR="00BE796C">
        <w:rPr>
          <w:rFonts w:ascii="Arial" w:hAnsi="Arial" w:cs="Arial"/>
          <w:sz w:val="28"/>
          <w:szCs w:val="28"/>
          <w:lang w:val="fr-CA"/>
        </w:rPr>
        <w:t>»</w:t>
      </w:r>
      <w:r w:rsidRPr="00BE796C">
        <w:rPr>
          <w:rFonts w:ascii="Arial" w:hAnsi="Arial" w:cs="Arial"/>
          <w:sz w:val="28"/>
          <w:szCs w:val="28"/>
          <w:lang w:val="fr-CA"/>
        </w:rPr>
        <w:t xml:space="preserve">, 27 septembre 2018, </w:t>
      </w:r>
      <w:hyperlink r:id="rId5" w:history="1">
        <w:r w:rsidR="00337DC8" w:rsidRPr="003162D8">
          <w:rPr>
            <w:rStyle w:val="Lienhypertexte"/>
            <w:rFonts w:ascii="Arial" w:hAnsi="Arial" w:cs="Arial"/>
            <w:sz w:val="28"/>
            <w:szCs w:val="28"/>
            <w:lang w:val="fr-CA"/>
          </w:rPr>
          <w:t>https://www.aodaalliance.org/wp-content/uploads/2018/09/Sept-27-2018-%20AODA-Alliance-Brief-to-Parliament-on-Bill-C81-Final-Version.docx</w:t>
        </w:r>
      </w:hyperlink>
      <w:r w:rsidR="00337DC8">
        <w:rPr>
          <w:rFonts w:ascii="Arial" w:hAnsi="Arial" w:cs="Arial"/>
          <w:sz w:val="28"/>
          <w:szCs w:val="28"/>
          <w:lang w:val="fr-CA"/>
        </w:rPr>
        <w:t>, consulté le 19 octobre 2018.</w:t>
      </w:r>
    </w:p>
    <w:p w:rsidR="00D4541F" w:rsidRDefault="00D4541F" w:rsidP="00BE796C">
      <w:pPr>
        <w:widowControl/>
        <w:rPr>
          <w:rFonts w:ascii="Arial" w:hAnsi="Arial" w:cs="Arial"/>
          <w:sz w:val="28"/>
          <w:szCs w:val="28"/>
          <w:lang w:val="fr-CA"/>
        </w:rPr>
      </w:pPr>
    </w:p>
    <w:p w:rsidR="00307D44" w:rsidRDefault="00307D44" w:rsidP="00BE796C">
      <w:pPr>
        <w:widowControl/>
        <w:rPr>
          <w:rFonts w:ascii="Arial" w:hAnsi="Arial" w:cs="Arial"/>
          <w:sz w:val="28"/>
          <w:szCs w:val="28"/>
          <w:lang w:val="fr-CA"/>
        </w:rPr>
      </w:pPr>
      <w:r w:rsidRPr="00BE796C">
        <w:rPr>
          <w:rFonts w:ascii="Arial" w:hAnsi="Arial" w:cs="Arial"/>
          <w:sz w:val="28"/>
          <w:szCs w:val="28"/>
          <w:lang w:val="fr-CA"/>
        </w:rPr>
        <w:t>2</w:t>
      </w:r>
      <w:r w:rsidR="00D4541F">
        <w:rPr>
          <w:rFonts w:ascii="Arial" w:hAnsi="Arial" w:cs="Arial"/>
          <w:sz w:val="28"/>
          <w:szCs w:val="28"/>
          <w:lang w:val="fr-CA"/>
        </w:rPr>
        <w:t>.</w:t>
      </w:r>
      <w:r w:rsidRPr="00BE796C">
        <w:rPr>
          <w:rFonts w:ascii="Arial" w:hAnsi="Arial" w:cs="Arial"/>
          <w:sz w:val="28"/>
          <w:szCs w:val="28"/>
          <w:lang w:val="fr-CA"/>
        </w:rPr>
        <w:t xml:space="preserve"> Consulter le </w:t>
      </w:r>
      <w:hyperlink r:id="rId6" w:history="1">
        <w:r w:rsidR="00337DC8" w:rsidRPr="003162D8">
          <w:rPr>
            <w:rStyle w:val="Lienhypertexte"/>
            <w:rFonts w:ascii="Arial" w:hAnsi="Arial" w:cs="Arial"/>
            <w:sz w:val="28"/>
            <w:szCs w:val="28"/>
            <w:lang w:val="fr-CA"/>
          </w:rPr>
          <w:t>https://www.scc.ca/fr</w:t>
        </w:r>
      </w:hyperlink>
      <w:r w:rsidR="00337DC8">
        <w:rPr>
          <w:rFonts w:ascii="Arial" w:hAnsi="Arial" w:cs="Arial"/>
          <w:sz w:val="28"/>
          <w:szCs w:val="28"/>
          <w:lang w:val="fr-CA"/>
        </w:rPr>
        <w:t>.</w:t>
      </w:r>
    </w:p>
    <w:p w:rsidR="00D4541F" w:rsidRDefault="00D4541F" w:rsidP="00BE796C">
      <w:pPr>
        <w:widowControl/>
        <w:rPr>
          <w:rFonts w:ascii="Arial" w:hAnsi="Arial" w:cs="Arial"/>
          <w:sz w:val="28"/>
          <w:szCs w:val="28"/>
          <w:lang w:val="fr-CA"/>
        </w:rPr>
      </w:pPr>
      <w:r>
        <w:rPr>
          <w:rFonts w:ascii="Arial" w:hAnsi="Arial" w:cs="Arial"/>
          <w:sz w:val="28"/>
          <w:szCs w:val="28"/>
          <w:lang w:val="fr-CA"/>
        </w:rPr>
        <w:t>FIN NOTES DE BAS DE PAGE.</w:t>
      </w:r>
    </w:p>
    <w:p w:rsidR="00D4541F" w:rsidRDefault="00D4541F" w:rsidP="00BE796C">
      <w:pPr>
        <w:widowControl/>
        <w:rPr>
          <w:rFonts w:ascii="Arial" w:hAnsi="Arial" w:cs="Arial"/>
          <w:sz w:val="28"/>
          <w:szCs w:val="28"/>
          <w:lang w:val="fr-CA"/>
        </w:rPr>
      </w:pPr>
    </w:p>
    <w:p w:rsidR="00D4541F" w:rsidRDefault="00D4541F" w:rsidP="00BE796C">
      <w:pPr>
        <w:widowControl/>
        <w:rPr>
          <w:rFonts w:ascii="Arial" w:hAnsi="Arial" w:cs="Arial"/>
          <w:sz w:val="28"/>
          <w:szCs w:val="28"/>
          <w:lang w:val="fr-CA"/>
        </w:rPr>
      </w:pPr>
    </w:p>
    <w:p w:rsidR="00307D44" w:rsidRDefault="00D4541F" w:rsidP="00D4541F">
      <w:pPr>
        <w:pStyle w:val="Titre2"/>
      </w:pPr>
      <w:r>
        <w:t>Partie 2, Mission</w:t>
      </w:r>
    </w:p>
    <w:p w:rsidR="00D4541F" w:rsidRPr="00BE796C" w:rsidRDefault="00D4541F" w:rsidP="00BE796C">
      <w:pPr>
        <w:widowControl/>
        <w:rPr>
          <w:rFonts w:ascii="Arial" w:hAnsi="Arial" w:cs="Arial"/>
          <w:sz w:val="28"/>
          <w:szCs w:val="28"/>
          <w:lang w:val="fr-CA"/>
        </w:rPr>
      </w:pPr>
    </w:p>
    <w:p w:rsidR="00307D44" w:rsidRDefault="00307D44" w:rsidP="00BE796C">
      <w:pPr>
        <w:widowControl/>
        <w:rPr>
          <w:rFonts w:ascii="Arial" w:hAnsi="Arial" w:cs="Arial"/>
          <w:sz w:val="28"/>
          <w:szCs w:val="28"/>
          <w:lang w:val="fr-CA"/>
        </w:rPr>
      </w:pPr>
      <w:r w:rsidRPr="00BE796C">
        <w:rPr>
          <w:rFonts w:ascii="Arial" w:hAnsi="Arial" w:cs="Arial"/>
          <w:sz w:val="28"/>
          <w:szCs w:val="28"/>
          <w:lang w:val="fr-CA"/>
        </w:rPr>
        <w:t xml:space="preserve">Comme mentionné plus haut, la partie 2 définit les missions que doit </w:t>
      </w:r>
      <w:proofErr w:type="gramStart"/>
      <w:r w:rsidRPr="00BE796C">
        <w:rPr>
          <w:rFonts w:ascii="Arial" w:hAnsi="Arial" w:cs="Arial"/>
          <w:sz w:val="28"/>
          <w:szCs w:val="28"/>
          <w:lang w:val="fr-CA"/>
        </w:rPr>
        <w:t>accomplir</w:t>
      </w:r>
      <w:proofErr w:type="gramEnd"/>
      <w:r w:rsidRPr="00BE796C">
        <w:rPr>
          <w:rFonts w:ascii="Arial" w:hAnsi="Arial" w:cs="Arial"/>
          <w:sz w:val="28"/>
          <w:szCs w:val="28"/>
          <w:lang w:val="fr-CA"/>
        </w:rPr>
        <w:t xml:space="preserve"> l’OCENA, notamment </w:t>
      </w:r>
      <w:r w:rsidR="00BE796C">
        <w:rPr>
          <w:rFonts w:ascii="Arial" w:hAnsi="Arial" w:cs="Arial"/>
          <w:sz w:val="28"/>
          <w:szCs w:val="28"/>
          <w:lang w:val="fr-CA"/>
        </w:rPr>
        <w:t>« </w:t>
      </w:r>
      <w:r w:rsidRPr="00BE796C">
        <w:rPr>
          <w:rFonts w:ascii="Arial" w:hAnsi="Arial" w:cs="Arial"/>
          <w:sz w:val="28"/>
          <w:szCs w:val="28"/>
          <w:lang w:val="fr-CA"/>
        </w:rPr>
        <w:t>l’élaboration et la révision de normes d’accessibilité</w:t>
      </w:r>
      <w:r w:rsidR="00BE796C">
        <w:rPr>
          <w:rFonts w:ascii="Arial" w:hAnsi="Arial" w:cs="Arial"/>
          <w:sz w:val="28"/>
          <w:szCs w:val="28"/>
          <w:lang w:val="fr-CA"/>
        </w:rPr>
        <w:t> »</w:t>
      </w:r>
      <w:r w:rsidRPr="00BE796C">
        <w:rPr>
          <w:rFonts w:ascii="Arial" w:hAnsi="Arial" w:cs="Arial"/>
          <w:sz w:val="28"/>
          <w:szCs w:val="28"/>
          <w:lang w:val="fr-CA"/>
        </w:rPr>
        <w:t>. Toutefois, le texte semble exclure la possibilité pour l’OCENA de déterminer et recommander au ministre des normes d’accessibilité qui sont déjà reconnues généralement dans le secteur mondial des TIC, y compris p</w:t>
      </w:r>
      <w:r w:rsidR="00337DC8">
        <w:rPr>
          <w:rFonts w:ascii="Arial" w:hAnsi="Arial" w:cs="Arial"/>
          <w:sz w:val="28"/>
          <w:szCs w:val="28"/>
          <w:lang w:val="fr-CA"/>
        </w:rPr>
        <w:t>ar des entreprises canadiennes.</w:t>
      </w:r>
    </w:p>
    <w:p w:rsidR="00337DC8" w:rsidRPr="00BE796C" w:rsidRDefault="00337DC8" w:rsidP="00BE796C">
      <w:pPr>
        <w:widowControl/>
        <w:rPr>
          <w:rFonts w:ascii="Arial" w:hAnsi="Arial" w:cs="Arial"/>
          <w:sz w:val="28"/>
          <w:szCs w:val="28"/>
          <w:lang w:val="fr-CA"/>
        </w:rPr>
      </w:pPr>
    </w:p>
    <w:p w:rsidR="00307D44" w:rsidRDefault="00307D44" w:rsidP="00BE796C">
      <w:pPr>
        <w:widowControl/>
        <w:rPr>
          <w:rFonts w:ascii="Arial" w:hAnsi="Arial" w:cs="Arial"/>
          <w:sz w:val="28"/>
          <w:szCs w:val="28"/>
          <w:lang w:val="fr-CA"/>
        </w:rPr>
      </w:pPr>
      <w:r w:rsidRPr="00BE796C">
        <w:rPr>
          <w:rFonts w:ascii="Arial" w:hAnsi="Arial" w:cs="Arial"/>
          <w:sz w:val="28"/>
          <w:szCs w:val="28"/>
          <w:lang w:val="fr-CA"/>
        </w:rPr>
        <w:t xml:space="preserve">Peu importe l’endroit géographique, les solutions techniques en matière </w:t>
      </w:r>
      <w:proofErr w:type="gramStart"/>
      <w:r w:rsidRPr="00BE796C">
        <w:rPr>
          <w:rFonts w:ascii="Arial" w:hAnsi="Arial" w:cs="Arial"/>
          <w:sz w:val="28"/>
          <w:szCs w:val="28"/>
          <w:lang w:val="fr-CA"/>
        </w:rPr>
        <w:t>d’accessibilité</w:t>
      </w:r>
      <w:proofErr w:type="gramEnd"/>
      <w:r w:rsidRPr="00BE796C">
        <w:rPr>
          <w:rFonts w:ascii="Arial" w:hAnsi="Arial" w:cs="Arial"/>
          <w:sz w:val="28"/>
          <w:szCs w:val="28"/>
          <w:lang w:val="fr-CA"/>
        </w:rPr>
        <w:t xml:space="preserve"> sont essentiellement les mêmes. Si l’OCENA doit élaborer des normes d’accessibilité qui sont différentes ou qui peuvent aller à l’encontre de normes d’accessibilité largement mises en </w:t>
      </w:r>
      <w:proofErr w:type="spellStart"/>
      <w:r w:rsidRPr="00BE796C">
        <w:rPr>
          <w:rFonts w:ascii="Arial" w:hAnsi="Arial" w:cs="Arial"/>
          <w:sz w:val="28"/>
          <w:szCs w:val="28"/>
          <w:lang w:val="fr-CA"/>
        </w:rPr>
        <w:t>oeuvre</w:t>
      </w:r>
      <w:proofErr w:type="spellEnd"/>
      <w:r w:rsidRPr="00BE796C">
        <w:rPr>
          <w:rFonts w:ascii="Arial" w:hAnsi="Arial" w:cs="Arial"/>
          <w:sz w:val="28"/>
          <w:szCs w:val="28"/>
          <w:lang w:val="fr-CA"/>
        </w:rPr>
        <w:t xml:space="preserve"> en matière de TIC, cela pourrait retarder de plusieurs années la mise en </w:t>
      </w:r>
      <w:proofErr w:type="spellStart"/>
      <w:r w:rsidRPr="00BE796C">
        <w:rPr>
          <w:rFonts w:ascii="Arial" w:hAnsi="Arial" w:cs="Arial"/>
          <w:sz w:val="28"/>
          <w:szCs w:val="28"/>
          <w:lang w:val="fr-CA"/>
        </w:rPr>
        <w:t>oeuvre</w:t>
      </w:r>
      <w:proofErr w:type="spellEnd"/>
      <w:r w:rsidRPr="00BE796C">
        <w:rPr>
          <w:rFonts w:ascii="Arial" w:hAnsi="Arial" w:cs="Arial"/>
          <w:sz w:val="28"/>
          <w:szCs w:val="28"/>
          <w:lang w:val="fr-CA"/>
        </w:rPr>
        <w:t xml:space="preserve"> complète de nouvelles normes, et accroître les coûts et le fardeau administratif des </w:t>
      </w:r>
      <w:r w:rsidRPr="00BE796C">
        <w:rPr>
          <w:rFonts w:ascii="Arial" w:hAnsi="Arial" w:cs="Arial"/>
          <w:sz w:val="28"/>
          <w:szCs w:val="28"/>
          <w:lang w:val="fr-CA"/>
        </w:rPr>
        <w:lastRenderedPageBreak/>
        <w:t>fournisseurs de services et des concepteurs de TIC. Entre-temps, au lieu de se consacrer à l’élaboration de technologies émergentes inclusives et de solutions d’accessibilité novatrices, l’industrie risque de concentrer son attention sur le rapprochement de normes au lieu de veiller à ce que des générations entières de nouvelles TIC soient access</w:t>
      </w:r>
      <w:r w:rsidR="00337DC8">
        <w:rPr>
          <w:rFonts w:ascii="Arial" w:hAnsi="Arial" w:cs="Arial"/>
          <w:sz w:val="28"/>
          <w:szCs w:val="28"/>
          <w:lang w:val="fr-CA"/>
        </w:rPr>
        <w:t>ibles aux Canadiens handicapés.</w:t>
      </w:r>
    </w:p>
    <w:p w:rsidR="00337DC8" w:rsidRPr="00BE796C" w:rsidRDefault="00337DC8" w:rsidP="00BE796C">
      <w:pPr>
        <w:widowControl/>
        <w:rPr>
          <w:rFonts w:ascii="Arial" w:hAnsi="Arial" w:cs="Arial"/>
          <w:sz w:val="28"/>
          <w:szCs w:val="28"/>
          <w:lang w:val="fr-CA"/>
        </w:rPr>
      </w:pPr>
    </w:p>
    <w:p w:rsidR="00307D44" w:rsidRDefault="00307D44" w:rsidP="00BE796C">
      <w:pPr>
        <w:widowControl/>
        <w:rPr>
          <w:rFonts w:ascii="Arial" w:hAnsi="Arial" w:cs="Arial"/>
          <w:sz w:val="28"/>
          <w:szCs w:val="28"/>
          <w:lang w:val="fr-CA"/>
        </w:rPr>
      </w:pPr>
      <w:r w:rsidRPr="00BE796C">
        <w:rPr>
          <w:rFonts w:ascii="Arial" w:hAnsi="Arial" w:cs="Arial"/>
          <w:sz w:val="28"/>
          <w:szCs w:val="28"/>
          <w:lang w:val="fr-CA"/>
        </w:rPr>
        <w:t xml:space="preserve">Nous croyons que la méthodologie la plus appropriée serait de mettre </w:t>
      </w:r>
      <w:proofErr w:type="gramStart"/>
      <w:r w:rsidRPr="00BE796C">
        <w:rPr>
          <w:rFonts w:ascii="Arial" w:hAnsi="Arial" w:cs="Arial"/>
          <w:sz w:val="28"/>
          <w:szCs w:val="28"/>
          <w:lang w:val="fr-CA"/>
        </w:rPr>
        <w:t>d’abord</w:t>
      </w:r>
      <w:proofErr w:type="gramEnd"/>
      <w:r w:rsidRPr="00BE796C">
        <w:rPr>
          <w:rFonts w:ascii="Arial" w:hAnsi="Arial" w:cs="Arial"/>
          <w:sz w:val="28"/>
          <w:szCs w:val="28"/>
          <w:lang w:val="fr-CA"/>
        </w:rPr>
        <w:t xml:space="preserve"> l’accent sur l’adoption des normes existantes, et ensuite d’adapter ces normes si jamais elles ne répondent pas parfaitement aux besoins du marché canadien. L’élaboration de normes particulières s’effectuerait en dernier ressort et servirait uniquement à corriger toute lacune qui pourrait être recensée après une évaluation approfondie de l’ensemble des normes mondiales d’accessibilité. À cette fin, nous exhortons le Parlement à envisager la possibilité de réviser la partie 2 de la façon suivante (le nouveau texte est en caractères gras et en italique)</w:t>
      </w:r>
      <w:r w:rsidR="00BE796C">
        <w:rPr>
          <w:rFonts w:ascii="Arial" w:hAnsi="Arial" w:cs="Arial"/>
          <w:sz w:val="28"/>
          <w:szCs w:val="28"/>
          <w:lang w:val="fr-CA"/>
        </w:rPr>
        <w:t> :</w:t>
      </w:r>
    </w:p>
    <w:p w:rsidR="00337DC8" w:rsidRPr="00BE796C" w:rsidRDefault="00337DC8" w:rsidP="00BE796C">
      <w:pPr>
        <w:widowControl/>
        <w:rPr>
          <w:rFonts w:ascii="Arial" w:hAnsi="Arial" w:cs="Arial"/>
          <w:sz w:val="28"/>
          <w:szCs w:val="28"/>
          <w:lang w:val="fr-CA"/>
        </w:rPr>
      </w:pPr>
    </w:p>
    <w:p w:rsidR="00307D44" w:rsidRPr="00BE796C" w:rsidRDefault="00337DC8" w:rsidP="00BE796C">
      <w:pPr>
        <w:widowControl/>
        <w:rPr>
          <w:rFonts w:ascii="Arial" w:hAnsi="Arial" w:cs="Arial"/>
          <w:sz w:val="28"/>
          <w:szCs w:val="28"/>
          <w:lang w:val="fr-CA"/>
        </w:rPr>
      </w:pPr>
      <w:r>
        <w:rPr>
          <w:rFonts w:ascii="Arial" w:hAnsi="Arial" w:cs="Arial"/>
          <w:sz w:val="28"/>
          <w:szCs w:val="28"/>
          <w:lang w:val="fr-CA"/>
        </w:rPr>
        <w:t>DÉBUT PAGE 3</w:t>
      </w:r>
    </w:p>
    <w:p w:rsidR="00D4541F" w:rsidRDefault="00D4541F" w:rsidP="00BE796C">
      <w:pPr>
        <w:widowControl/>
        <w:rPr>
          <w:rFonts w:ascii="Arial" w:hAnsi="Arial" w:cs="Arial"/>
          <w:sz w:val="28"/>
          <w:szCs w:val="28"/>
          <w:lang w:val="fr-CA"/>
        </w:rPr>
      </w:pPr>
    </w:p>
    <w:p w:rsidR="00D4541F" w:rsidRDefault="00D4541F" w:rsidP="00BE796C">
      <w:pPr>
        <w:widowControl/>
        <w:rPr>
          <w:rFonts w:ascii="Arial" w:hAnsi="Arial" w:cs="Arial"/>
          <w:sz w:val="28"/>
          <w:szCs w:val="28"/>
          <w:lang w:val="fr-CA"/>
        </w:rPr>
      </w:pPr>
    </w:p>
    <w:p w:rsidR="00307D44" w:rsidRPr="00337DC8" w:rsidRDefault="00307D44" w:rsidP="00BE796C">
      <w:pPr>
        <w:widowControl/>
        <w:rPr>
          <w:rFonts w:ascii="Arial" w:hAnsi="Arial" w:cs="Arial"/>
          <w:b/>
          <w:sz w:val="28"/>
          <w:szCs w:val="28"/>
          <w:lang w:val="fr-CA"/>
        </w:rPr>
      </w:pPr>
      <w:r w:rsidRPr="00337DC8">
        <w:rPr>
          <w:rFonts w:ascii="Arial" w:hAnsi="Arial" w:cs="Arial"/>
          <w:b/>
          <w:sz w:val="28"/>
          <w:szCs w:val="28"/>
          <w:lang w:val="fr-CA"/>
        </w:rPr>
        <w:t>Mission</w:t>
      </w:r>
    </w:p>
    <w:p w:rsidR="00D4541F" w:rsidRPr="00BE796C" w:rsidRDefault="00D4541F" w:rsidP="00BE796C">
      <w:pPr>
        <w:widowControl/>
        <w:rPr>
          <w:rFonts w:ascii="Arial" w:hAnsi="Arial" w:cs="Arial"/>
          <w:sz w:val="28"/>
          <w:szCs w:val="28"/>
          <w:lang w:val="fr-CA"/>
        </w:rPr>
      </w:pPr>
    </w:p>
    <w:p w:rsidR="00307D44" w:rsidRDefault="00307D44" w:rsidP="00BE796C">
      <w:pPr>
        <w:widowControl/>
        <w:rPr>
          <w:rFonts w:ascii="Arial" w:hAnsi="Arial" w:cs="Arial"/>
          <w:sz w:val="28"/>
          <w:szCs w:val="28"/>
          <w:lang w:val="fr-CA"/>
        </w:rPr>
      </w:pPr>
      <w:r w:rsidRPr="00337DC8">
        <w:rPr>
          <w:rFonts w:ascii="Arial" w:hAnsi="Arial" w:cs="Arial"/>
          <w:b/>
          <w:sz w:val="28"/>
          <w:szCs w:val="28"/>
          <w:lang w:val="fr-CA"/>
        </w:rPr>
        <w:t>18</w:t>
      </w:r>
      <w:r w:rsidRPr="00BE796C">
        <w:rPr>
          <w:rFonts w:ascii="Arial" w:hAnsi="Arial" w:cs="Arial"/>
          <w:sz w:val="28"/>
          <w:szCs w:val="28"/>
          <w:lang w:val="fr-CA"/>
        </w:rPr>
        <w:t xml:space="preserve"> L’organisation de normalisation a pour mission de contribuer à la transformation graduelle du Canada en un pays exempt d’obstacles, entre autres, par</w:t>
      </w:r>
      <w:r w:rsidR="00BE796C">
        <w:rPr>
          <w:rFonts w:ascii="Arial" w:hAnsi="Arial" w:cs="Arial"/>
          <w:sz w:val="28"/>
          <w:szCs w:val="28"/>
          <w:lang w:val="fr-CA"/>
        </w:rPr>
        <w:t> :</w:t>
      </w:r>
    </w:p>
    <w:p w:rsidR="00337DC8" w:rsidRDefault="00337DC8" w:rsidP="00BE796C">
      <w:pPr>
        <w:widowControl/>
        <w:rPr>
          <w:rFonts w:ascii="Arial" w:hAnsi="Arial" w:cs="Arial"/>
          <w:sz w:val="28"/>
          <w:szCs w:val="28"/>
          <w:lang w:val="fr-CA"/>
        </w:rPr>
      </w:pPr>
    </w:p>
    <w:p w:rsidR="00037E86" w:rsidRPr="00BE796C" w:rsidRDefault="00037E86" w:rsidP="00BE796C">
      <w:pPr>
        <w:widowControl/>
        <w:rPr>
          <w:rFonts w:ascii="Arial" w:hAnsi="Arial" w:cs="Arial"/>
          <w:sz w:val="28"/>
          <w:szCs w:val="28"/>
          <w:lang w:val="fr-CA"/>
        </w:rPr>
      </w:pPr>
      <w:r>
        <w:rPr>
          <w:rFonts w:ascii="Arial" w:hAnsi="Arial" w:cs="Arial"/>
          <w:sz w:val="28"/>
          <w:szCs w:val="28"/>
          <w:lang w:val="fr-CA"/>
        </w:rPr>
        <w:t>DÉBUT LISTE :</w:t>
      </w:r>
    </w:p>
    <w:p w:rsidR="00307D44" w:rsidRPr="00337DC8" w:rsidRDefault="00307D44" w:rsidP="00BE796C">
      <w:pPr>
        <w:widowControl/>
        <w:rPr>
          <w:rFonts w:ascii="Arial" w:hAnsi="Arial" w:cs="Arial"/>
          <w:b/>
          <w:i/>
          <w:sz w:val="28"/>
          <w:szCs w:val="28"/>
          <w:lang w:val="fr-CA"/>
        </w:rPr>
      </w:pPr>
      <w:r w:rsidRPr="00337DC8">
        <w:rPr>
          <w:rFonts w:ascii="Arial" w:hAnsi="Arial" w:cs="Arial"/>
          <w:b/>
          <w:sz w:val="28"/>
          <w:szCs w:val="28"/>
          <w:lang w:val="fr-CA"/>
        </w:rPr>
        <w:t xml:space="preserve">a) </w:t>
      </w:r>
      <w:r w:rsidRPr="00337DC8">
        <w:rPr>
          <w:rFonts w:ascii="Arial" w:hAnsi="Arial" w:cs="Arial"/>
          <w:b/>
          <w:i/>
          <w:sz w:val="28"/>
          <w:szCs w:val="28"/>
          <w:lang w:val="fr-CA"/>
        </w:rPr>
        <w:t xml:space="preserve">la réalisation d’un examen approfondi des normes d’accessibilité actuellement mises en </w:t>
      </w:r>
      <w:proofErr w:type="spellStart"/>
      <w:r w:rsidRPr="00337DC8">
        <w:rPr>
          <w:rFonts w:ascii="Arial" w:hAnsi="Arial" w:cs="Arial"/>
          <w:b/>
          <w:i/>
          <w:sz w:val="28"/>
          <w:szCs w:val="28"/>
          <w:lang w:val="fr-CA"/>
        </w:rPr>
        <w:t>oeuvre</w:t>
      </w:r>
      <w:proofErr w:type="spellEnd"/>
      <w:r w:rsidRPr="00337DC8">
        <w:rPr>
          <w:rFonts w:ascii="Arial" w:hAnsi="Arial" w:cs="Arial"/>
          <w:b/>
          <w:i/>
          <w:sz w:val="28"/>
          <w:szCs w:val="28"/>
          <w:lang w:val="fr-CA"/>
        </w:rPr>
        <w:t xml:space="preserve"> dans le marché mondial et l’évaluation de leur utilité possible pour att</w:t>
      </w:r>
      <w:r w:rsidR="00337DC8" w:rsidRPr="00337DC8">
        <w:rPr>
          <w:rFonts w:ascii="Arial" w:hAnsi="Arial" w:cs="Arial"/>
          <w:b/>
          <w:i/>
          <w:sz w:val="28"/>
          <w:szCs w:val="28"/>
          <w:lang w:val="fr-CA"/>
        </w:rPr>
        <w:t>eindre les objectifs de la Loi;</w:t>
      </w:r>
    </w:p>
    <w:p w:rsidR="00337DC8" w:rsidRPr="00BE796C" w:rsidRDefault="00337DC8" w:rsidP="00BE796C">
      <w:pPr>
        <w:widowControl/>
        <w:rPr>
          <w:rFonts w:ascii="Arial" w:hAnsi="Arial" w:cs="Arial"/>
          <w:sz w:val="28"/>
          <w:szCs w:val="28"/>
          <w:lang w:val="fr-CA"/>
        </w:rPr>
      </w:pPr>
    </w:p>
    <w:p w:rsidR="00307D44" w:rsidRPr="00337DC8" w:rsidRDefault="00307D44" w:rsidP="00BE796C">
      <w:pPr>
        <w:widowControl/>
        <w:rPr>
          <w:rFonts w:ascii="Arial" w:hAnsi="Arial" w:cs="Arial"/>
          <w:b/>
          <w:i/>
          <w:sz w:val="28"/>
          <w:szCs w:val="28"/>
          <w:lang w:val="fr-CA"/>
        </w:rPr>
      </w:pPr>
      <w:r w:rsidRPr="00337DC8">
        <w:rPr>
          <w:rFonts w:ascii="Arial" w:hAnsi="Arial" w:cs="Arial"/>
          <w:b/>
          <w:sz w:val="28"/>
          <w:szCs w:val="28"/>
          <w:lang w:val="fr-CA"/>
        </w:rPr>
        <w:t xml:space="preserve">b) </w:t>
      </w:r>
      <w:r w:rsidRPr="00337DC8">
        <w:rPr>
          <w:rFonts w:ascii="Arial" w:hAnsi="Arial" w:cs="Arial"/>
          <w:b/>
          <w:i/>
          <w:sz w:val="28"/>
          <w:szCs w:val="28"/>
          <w:lang w:val="fr-CA"/>
        </w:rPr>
        <w:t>dans le secteur où les normes existantes évaluées aux termes du point a) ci-dessus ne permettent pas d’atteindre pleinement les objectifs de la Loi, l’élaboration de recommandations pour améliorer les normes et la mobilisation des organisations ou sociétés perti</w:t>
      </w:r>
      <w:r w:rsidR="00337DC8" w:rsidRPr="00337DC8">
        <w:rPr>
          <w:rFonts w:ascii="Arial" w:hAnsi="Arial" w:cs="Arial"/>
          <w:b/>
          <w:i/>
          <w:sz w:val="28"/>
          <w:szCs w:val="28"/>
          <w:lang w:val="fr-CA"/>
        </w:rPr>
        <w:t>nentes en vue de leur adoption;</w:t>
      </w:r>
    </w:p>
    <w:p w:rsidR="00BE796C" w:rsidRDefault="00BE796C" w:rsidP="00BE796C">
      <w:pPr>
        <w:widowControl/>
        <w:rPr>
          <w:rFonts w:ascii="Arial" w:hAnsi="Arial" w:cs="Arial"/>
          <w:sz w:val="28"/>
          <w:szCs w:val="28"/>
          <w:lang w:val="fr-CA"/>
        </w:rPr>
      </w:pPr>
    </w:p>
    <w:p w:rsidR="00307D44" w:rsidRPr="00337DC8" w:rsidRDefault="00307D44" w:rsidP="00BE796C">
      <w:pPr>
        <w:widowControl/>
        <w:rPr>
          <w:rFonts w:ascii="Arial" w:hAnsi="Arial" w:cs="Arial"/>
          <w:b/>
          <w:i/>
          <w:sz w:val="28"/>
          <w:szCs w:val="28"/>
          <w:lang w:val="fr-CA"/>
        </w:rPr>
      </w:pPr>
      <w:r w:rsidRPr="00337DC8">
        <w:rPr>
          <w:rFonts w:ascii="Arial" w:hAnsi="Arial" w:cs="Arial"/>
          <w:b/>
          <w:sz w:val="28"/>
          <w:szCs w:val="28"/>
          <w:lang w:val="fr-CA"/>
        </w:rPr>
        <w:t xml:space="preserve">c) </w:t>
      </w:r>
      <w:r w:rsidRPr="00337DC8">
        <w:rPr>
          <w:rFonts w:ascii="Arial" w:hAnsi="Arial" w:cs="Arial"/>
          <w:b/>
          <w:i/>
          <w:sz w:val="28"/>
          <w:szCs w:val="28"/>
          <w:lang w:val="fr-CA"/>
        </w:rPr>
        <w:t xml:space="preserve">dans les secteurs où l’adoption ou l’adaptation des normes existantes indiquées aux points a) et b) ci-dessus n’a pas permis </w:t>
      </w:r>
      <w:r w:rsidRPr="00337DC8">
        <w:rPr>
          <w:rFonts w:ascii="Arial" w:hAnsi="Arial" w:cs="Arial"/>
          <w:b/>
          <w:i/>
          <w:sz w:val="28"/>
          <w:szCs w:val="28"/>
          <w:lang w:val="fr-CA"/>
        </w:rPr>
        <w:lastRenderedPageBreak/>
        <w:t>d’atteindre les objectifs de la Loi, l’élaboration de normes d’accessibilité pour</w:t>
      </w:r>
      <w:r w:rsidR="00337DC8" w:rsidRPr="00337DC8">
        <w:rPr>
          <w:rFonts w:ascii="Arial" w:hAnsi="Arial" w:cs="Arial"/>
          <w:b/>
          <w:i/>
          <w:sz w:val="28"/>
          <w:szCs w:val="28"/>
          <w:lang w:val="fr-CA"/>
        </w:rPr>
        <w:t xml:space="preserve"> corriger les lacunes relevées;</w:t>
      </w:r>
    </w:p>
    <w:p w:rsidR="00337DC8" w:rsidRDefault="00337DC8" w:rsidP="00BE796C">
      <w:pPr>
        <w:widowControl/>
        <w:rPr>
          <w:rFonts w:ascii="Arial" w:hAnsi="Arial" w:cs="Arial"/>
          <w:sz w:val="28"/>
          <w:szCs w:val="28"/>
          <w:lang w:val="fr-CA"/>
        </w:rPr>
      </w:pPr>
    </w:p>
    <w:p w:rsidR="00307D44" w:rsidRDefault="00307D44" w:rsidP="00BE796C">
      <w:pPr>
        <w:widowControl/>
        <w:rPr>
          <w:rFonts w:ascii="Arial" w:hAnsi="Arial" w:cs="Arial"/>
          <w:sz w:val="28"/>
          <w:szCs w:val="28"/>
          <w:lang w:val="fr-CA"/>
        </w:rPr>
      </w:pPr>
      <w:r w:rsidRPr="00337DC8">
        <w:rPr>
          <w:rFonts w:ascii="Arial" w:hAnsi="Arial" w:cs="Arial"/>
          <w:b/>
          <w:sz w:val="28"/>
          <w:szCs w:val="28"/>
          <w:lang w:val="fr-CA"/>
        </w:rPr>
        <w:t>d)</w:t>
      </w:r>
      <w:r w:rsidRPr="00BE796C">
        <w:rPr>
          <w:rFonts w:ascii="Arial" w:hAnsi="Arial" w:cs="Arial"/>
          <w:sz w:val="28"/>
          <w:szCs w:val="28"/>
          <w:lang w:val="fr-CA"/>
        </w:rPr>
        <w:t xml:space="preserve"> la recommandation au mini</w:t>
      </w:r>
      <w:r w:rsidR="00337DC8">
        <w:rPr>
          <w:rFonts w:ascii="Arial" w:hAnsi="Arial" w:cs="Arial"/>
          <w:sz w:val="28"/>
          <w:szCs w:val="28"/>
          <w:lang w:val="fr-CA"/>
        </w:rPr>
        <w:t>stre de normes d’accessibilité;</w:t>
      </w:r>
    </w:p>
    <w:p w:rsidR="00337DC8" w:rsidRPr="00BE796C" w:rsidRDefault="00337DC8" w:rsidP="00BE796C">
      <w:pPr>
        <w:widowControl/>
        <w:rPr>
          <w:rFonts w:ascii="Arial" w:hAnsi="Arial" w:cs="Arial"/>
          <w:sz w:val="28"/>
          <w:szCs w:val="28"/>
          <w:lang w:val="fr-CA"/>
        </w:rPr>
      </w:pPr>
    </w:p>
    <w:p w:rsidR="00307D44" w:rsidRPr="00BE796C" w:rsidRDefault="00307D44" w:rsidP="00BE796C">
      <w:pPr>
        <w:widowControl/>
        <w:rPr>
          <w:rFonts w:ascii="Arial" w:hAnsi="Arial" w:cs="Arial"/>
          <w:sz w:val="28"/>
          <w:szCs w:val="28"/>
          <w:lang w:val="fr-CA"/>
        </w:rPr>
      </w:pPr>
      <w:r w:rsidRPr="00337DC8">
        <w:rPr>
          <w:rFonts w:ascii="Arial" w:hAnsi="Arial" w:cs="Arial"/>
          <w:b/>
          <w:sz w:val="28"/>
          <w:szCs w:val="28"/>
          <w:lang w:val="fr-CA"/>
        </w:rPr>
        <w:t>e)</w:t>
      </w:r>
      <w:r w:rsidRPr="00BE796C">
        <w:rPr>
          <w:rFonts w:ascii="Arial" w:hAnsi="Arial" w:cs="Arial"/>
          <w:sz w:val="28"/>
          <w:szCs w:val="28"/>
          <w:lang w:val="fr-CA"/>
        </w:rPr>
        <w:t xml:space="preserve"> la fourniture de renseignements, de produits et de services concernant les normes d’accessibilité q</w:t>
      </w:r>
      <w:r w:rsidR="00337DC8">
        <w:rPr>
          <w:rFonts w:ascii="Arial" w:hAnsi="Arial" w:cs="Arial"/>
          <w:sz w:val="28"/>
          <w:szCs w:val="28"/>
          <w:lang w:val="fr-CA"/>
        </w:rPr>
        <w:t>u’elle a élaborées et révisées;</w:t>
      </w:r>
    </w:p>
    <w:p w:rsidR="00337DC8" w:rsidRDefault="00337DC8" w:rsidP="00BE796C">
      <w:pPr>
        <w:widowControl/>
        <w:rPr>
          <w:rFonts w:ascii="Arial" w:hAnsi="Arial" w:cs="Arial"/>
          <w:sz w:val="28"/>
          <w:szCs w:val="28"/>
          <w:lang w:val="fr-CA"/>
        </w:rPr>
      </w:pPr>
    </w:p>
    <w:p w:rsidR="00307D44" w:rsidRPr="00BE796C" w:rsidRDefault="00307D44" w:rsidP="00BE796C">
      <w:pPr>
        <w:widowControl/>
        <w:rPr>
          <w:rFonts w:ascii="Arial" w:hAnsi="Arial" w:cs="Arial"/>
          <w:sz w:val="28"/>
          <w:szCs w:val="28"/>
          <w:lang w:val="fr-CA"/>
        </w:rPr>
      </w:pPr>
      <w:r w:rsidRPr="00337DC8">
        <w:rPr>
          <w:rFonts w:ascii="Arial" w:hAnsi="Arial" w:cs="Arial"/>
          <w:b/>
          <w:sz w:val="28"/>
          <w:szCs w:val="28"/>
          <w:lang w:val="fr-CA"/>
        </w:rPr>
        <w:t>f)</w:t>
      </w:r>
      <w:r w:rsidRPr="00BE796C">
        <w:rPr>
          <w:rFonts w:ascii="Arial" w:hAnsi="Arial" w:cs="Arial"/>
          <w:sz w:val="28"/>
          <w:szCs w:val="28"/>
          <w:lang w:val="fr-CA"/>
        </w:rPr>
        <w:t xml:space="preserve"> la promotion, le soutien et l’exécution de projets de recherche visant la reconnaissance et l’élimination d’obstacles ainsi que la pr</w:t>
      </w:r>
      <w:r w:rsidR="00337DC8">
        <w:rPr>
          <w:rFonts w:ascii="Arial" w:hAnsi="Arial" w:cs="Arial"/>
          <w:sz w:val="28"/>
          <w:szCs w:val="28"/>
          <w:lang w:val="fr-CA"/>
        </w:rPr>
        <w:t>évention de nouveaux obstacles;</w:t>
      </w:r>
    </w:p>
    <w:p w:rsidR="00337DC8" w:rsidRDefault="00337DC8" w:rsidP="00BE796C">
      <w:pPr>
        <w:widowControl/>
        <w:rPr>
          <w:rFonts w:ascii="Arial" w:hAnsi="Arial" w:cs="Arial"/>
          <w:sz w:val="28"/>
          <w:szCs w:val="28"/>
          <w:lang w:val="fr-CA"/>
        </w:rPr>
      </w:pPr>
    </w:p>
    <w:p w:rsidR="00307D44" w:rsidRDefault="00307D44" w:rsidP="00BE796C">
      <w:pPr>
        <w:widowControl/>
        <w:rPr>
          <w:rFonts w:ascii="Arial" w:hAnsi="Arial" w:cs="Arial"/>
          <w:sz w:val="28"/>
          <w:szCs w:val="28"/>
          <w:lang w:val="fr-CA"/>
        </w:rPr>
      </w:pPr>
      <w:r w:rsidRPr="00337DC8">
        <w:rPr>
          <w:rFonts w:ascii="Arial" w:hAnsi="Arial" w:cs="Arial"/>
          <w:b/>
          <w:sz w:val="28"/>
          <w:szCs w:val="28"/>
          <w:lang w:val="fr-CA"/>
        </w:rPr>
        <w:t>g)</w:t>
      </w:r>
      <w:r w:rsidRPr="00BE796C">
        <w:rPr>
          <w:rFonts w:ascii="Arial" w:hAnsi="Arial" w:cs="Arial"/>
          <w:sz w:val="28"/>
          <w:szCs w:val="28"/>
          <w:lang w:val="fr-CA"/>
        </w:rPr>
        <w:t xml:space="preserve"> la diffusion de renseignements, notamment sur les pratiques exemplaires, relativement à la reconnaissance et l’élimination d’obstacles ainsi que la pr</w:t>
      </w:r>
      <w:r w:rsidR="00337DC8">
        <w:rPr>
          <w:rFonts w:ascii="Arial" w:hAnsi="Arial" w:cs="Arial"/>
          <w:sz w:val="28"/>
          <w:szCs w:val="28"/>
          <w:lang w:val="fr-CA"/>
        </w:rPr>
        <w:t>évention de nouveaux obstacles.</w:t>
      </w:r>
    </w:p>
    <w:p w:rsidR="00337DC8" w:rsidRDefault="00037E86" w:rsidP="00BE796C">
      <w:pPr>
        <w:widowControl/>
        <w:rPr>
          <w:rFonts w:ascii="Arial" w:hAnsi="Arial" w:cs="Arial"/>
          <w:sz w:val="28"/>
          <w:szCs w:val="28"/>
          <w:lang w:val="fr-CA"/>
        </w:rPr>
      </w:pPr>
      <w:r>
        <w:rPr>
          <w:rFonts w:ascii="Arial" w:hAnsi="Arial" w:cs="Arial"/>
          <w:sz w:val="28"/>
          <w:szCs w:val="28"/>
          <w:lang w:val="fr-CA"/>
        </w:rPr>
        <w:t>FIN LISTE.</w:t>
      </w:r>
    </w:p>
    <w:p w:rsidR="00037E86" w:rsidRPr="00BE796C" w:rsidRDefault="00037E86" w:rsidP="00BE796C">
      <w:pPr>
        <w:widowControl/>
        <w:rPr>
          <w:rFonts w:ascii="Arial" w:hAnsi="Arial" w:cs="Arial"/>
          <w:sz w:val="28"/>
          <w:szCs w:val="28"/>
          <w:lang w:val="fr-CA"/>
        </w:rPr>
      </w:pPr>
    </w:p>
    <w:p w:rsidR="00037E86" w:rsidRDefault="00037E86" w:rsidP="00BE796C">
      <w:pPr>
        <w:widowControl/>
        <w:rPr>
          <w:rFonts w:ascii="Arial" w:hAnsi="Arial" w:cs="Arial"/>
          <w:sz w:val="28"/>
          <w:szCs w:val="28"/>
          <w:lang w:val="fr-CA"/>
        </w:rPr>
      </w:pPr>
    </w:p>
    <w:p w:rsidR="00307D44" w:rsidRDefault="00037E86" w:rsidP="00037E86">
      <w:pPr>
        <w:pStyle w:val="Titre2"/>
      </w:pPr>
      <w:r>
        <w:t>Partie 2, Attributions</w:t>
      </w:r>
    </w:p>
    <w:p w:rsidR="00037E86" w:rsidRPr="00BE796C" w:rsidRDefault="00037E86" w:rsidP="00BE796C">
      <w:pPr>
        <w:widowControl/>
        <w:rPr>
          <w:rFonts w:ascii="Arial" w:hAnsi="Arial" w:cs="Arial"/>
          <w:sz w:val="28"/>
          <w:szCs w:val="28"/>
          <w:lang w:val="fr-CA"/>
        </w:rPr>
      </w:pPr>
    </w:p>
    <w:p w:rsidR="00307D44" w:rsidRPr="00BE796C" w:rsidRDefault="00307D44" w:rsidP="00BE796C">
      <w:pPr>
        <w:widowControl/>
        <w:rPr>
          <w:rFonts w:ascii="Arial" w:hAnsi="Arial" w:cs="Arial"/>
          <w:sz w:val="28"/>
          <w:szCs w:val="28"/>
          <w:lang w:val="fr-CA"/>
        </w:rPr>
      </w:pPr>
      <w:r w:rsidRPr="00BE796C">
        <w:rPr>
          <w:rFonts w:ascii="Arial" w:hAnsi="Arial" w:cs="Arial"/>
          <w:sz w:val="28"/>
          <w:szCs w:val="28"/>
          <w:lang w:val="fr-CA"/>
        </w:rPr>
        <w:t>Dans cette section, la Loi permet à l’OCENA d’</w:t>
      </w:r>
      <w:r w:rsidR="00037E86">
        <w:rPr>
          <w:rFonts w:ascii="Arial" w:hAnsi="Arial" w:cs="Arial"/>
          <w:sz w:val="28"/>
          <w:szCs w:val="28"/>
          <w:lang w:val="fr-CA"/>
        </w:rPr>
        <w:t>« </w:t>
      </w:r>
      <w:r w:rsidRPr="00BE796C">
        <w:rPr>
          <w:rFonts w:ascii="Arial" w:hAnsi="Arial" w:cs="Arial"/>
          <w:sz w:val="28"/>
          <w:szCs w:val="28"/>
          <w:lang w:val="fr-CA"/>
        </w:rPr>
        <w:t>imposer des droits pour les normes d’accessibilité qu’elle élabore ou révise</w:t>
      </w:r>
      <w:r w:rsidR="00BE796C">
        <w:rPr>
          <w:rFonts w:ascii="Arial" w:hAnsi="Arial" w:cs="Arial"/>
          <w:sz w:val="28"/>
          <w:szCs w:val="28"/>
          <w:lang w:val="fr-CA"/>
        </w:rPr>
        <w:t> »</w:t>
      </w:r>
      <w:r w:rsidRPr="00BE796C">
        <w:rPr>
          <w:rFonts w:ascii="Arial" w:hAnsi="Arial" w:cs="Arial"/>
          <w:sz w:val="28"/>
          <w:szCs w:val="28"/>
          <w:lang w:val="fr-CA"/>
        </w:rPr>
        <w:t xml:space="preserve">. Cette option pourrait avoir pour effet de dissuader, sur le plan financier, l’OCENA d’examiner et de </w:t>
      </w:r>
      <w:proofErr w:type="gramStart"/>
      <w:r w:rsidRPr="00BE796C">
        <w:rPr>
          <w:rFonts w:ascii="Arial" w:hAnsi="Arial" w:cs="Arial"/>
          <w:sz w:val="28"/>
          <w:szCs w:val="28"/>
          <w:lang w:val="fr-CA"/>
        </w:rPr>
        <w:t>recommander</w:t>
      </w:r>
      <w:proofErr w:type="gramEnd"/>
      <w:r w:rsidRPr="00BE796C">
        <w:rPr>
          <w:rFonts w:ascii="Arial" w:hAnsi="Arial" w:cs="Arial"/>
          <w:sz w:val="28"/>
          <w:szCs w:val="28"/>
          <w:lang w:val="fr-CA"/>
        </w:rPr>
        <w:t xml:space="preserve"> l’adoption de normes pertinentes à l’échelle mondiale. Cette option créerait également un fardeau pour les petites entreprises, et dissuaderait les organisations de consommateurs et les personnes handicapées d’accroître la sensibilisation aux nouvelles exigences. Il est devenu pratique courante pour les organisations qui élaborent des normes de donner gratuitement accès aux normes d’accessibilité. L’OCENA pourrait faire de même</w:t>
      </w:r>
      <w:r w:rsidR="00037E86">
        <w:rPr>
          <w:rFonts w:ascii="Arial" w:hAnsi="Arial" w:cs="Arial"/>
          <w:sz w:val="28"/>
          <w:szCs w:val="28"/>
          <w:lang w:val="fr-CA"/>
        </w:rPr>
        <w:t xml:space="preserve"> NOTE DE BAS DE PAGE </w:t>
      </w:r>
      <w:r w:rsidRPr="00BE796C">
        <w:rPr>
          <w:rFonts w:ascii="Arial" w:hAnsi="Arial" w:cs="Arial"/>
          <w:sz w:val="28"/>
          <w:szCs w:val="28"/>
          <w:lang w:val="fr-CA"/>
        </w:rPr>
        <w:t xml:space="preserve">3. Enfin, si l’OCENA devait réviser une norme existante d’une autre société ou organisation et ensuite imposer des frais d’accès, elle pourrait ainsi enfreindre les politiques de </w:t>
      </w:r>
      <w:proofErr w:type="gramStart"/>
      <w:r w:rsidRPr="00BE796C">
        <w:rPr>
          <w:rFonts w:ascii="Arial" w:hAnsi="Arial" w:cs="Arial"/>
          <w:sz w:val="28"/>
          <w:szCs w:val="28"/>
          <w:lang w:val="fr-CA"/>
        </w:rPr>
        <w:t>cette dernière relatives</w:t>
      </w:r>
      <w:proofErr w:type="gramEnd"/>
      <w:r w:rsidRPr="00BE796C">
        <w:rPr>
          <w:rFonts w:ascii="Arial" w:hAnsi="Arial" w:cs="Arial"/>
          <w:sz w:val="28"/>
          <w:szCs w:val="28"/>
          <w:lang w:val="fr-CA"/>
        </w:rPr>
        <w:t xml:space="preserve"> à l’utilisation ou aux droits de propriété intellectuelle. Nous exhortons le Parlement à réviser le paragraphe 19(2) comme suit (le nouveau texte est en caractères gras et en italique)</w:t>
      </w:r>
      <w:r w:rsidR="00BE796C">
        <w:rPr>
          <w:rFonts w:ascii="Arial" w:hAnsi="Arial" w:cs="Arial"/>
          <w:sz w:val="28"/>
          <w:szCs w:val="28"/>
          <w:lang w:val="fr-CA"/>
        </w:rPr>
        <w:t> :</w:t>
      </w:r>
    </w:p>
    <w:p w:rsidR="00037E86" w:rsidRDefault="00037E86" w:rsidP="00BE796C">
      <w:pPr>
        <w:widowControl/>
        <w:rPr>
          <w:rFonts w:ascii="Arial" w:hAnsi="Arial" w:cs="Arial"/>
          <w:sz w:val="28"/>
          <w:szCs w:val="28"/>
          <w:lang w:val="fr-CA"/>
        </w:rPr>
      </w:pPr>
    </w:p>
    <w:p w:rsidR="00037E86" w:rsidRDefault="00037E86" w:rsidP="00BE796C">
      <w:pPr>
        <w:widowControl/>
        <w:rPr>
          <w:rFonts w:ascii="Arial" w:hAnsi="Arial" w:cs="Arial"/>
          <w:sz w:val="28"/>
          <w:szCs w:val="28"/>
          <w:lang w:val="fr-CA"/>
        </w:rPr>
      </w:pPr>
      <w:r>
        <w:rPr>
          <w:rFonts w:ascii="Arial" w:hAnsi="Arial" w:cs="Arial"/>
          <w:sz w:val="28"/>
          <w:szCs w:val="28"/>
          <w:lang w:val="fr-CA"/>
        </w:rPr>
        <w:t>DÉBUT NOTE DE BAS DE PAGE 3 :</w:t>
      </w:r>
    </w:p>
    <w:p w:rsidR="00307D44" w:rsidRPr="00BE796C" w:rsidRDefault="00307D44" w:rsidP="00BE796C">
      <w:pPr>
        <w:widowControl/>
        <w:rPr>
          <w:rFonts w:ascii="Arial" w:hAnsi="Arial" w:cs="Arial"/>
          <w:sz w:val="28"/>
          <w:szCs w:val="28"/>
          <w:lang w:val="fr-CA"/>
        </w:rPr>
      </w:pPr>
      <w:r w:rsidRPr="00BE796C">
        <w:rPr>
          <w:rFonts w:ascii="Arial" w:hAnsi="Arial" w:cs="Arial"/>
          <w:sz w:val="28"/>
          <w:szCs w:val="28"/>
          <w:lang w:val="fr-CA"/>
        </w:rPr>
        <w:t>Se reporter au docume</w:t>
      </w:r>
      <w:r w:rsidR="00037E86">
        <w:rPr>
          <w:rFonts w:ascii="Arial" w:hAnsi="Arial" w:cs="Arial"/>
          <w:sz w:val="28"/>
          <w:szCs w:val="28"/>
          <w:lang w:val="fr-CA"/>
        </w:rPr>
        <w:t>nt au mémoire de l’AODA, p. 29.</w:t>
      </w:r>
    </w:p>
    <w:p w:rsidR="00037E86" w:rsidRDefault="00037E86" w:rsidP="00BE796C">
      <w:pPr>
        <w:widowControl/>
        <w:rPr>
          <w:rFonts w:ascii="Arial" w:hAnsi="Arial" w:cs="Arial"/>
          <w:sz w:val="28"/>
          <w:szCs w:val="28"/>
          <w:lang w:val="fr-CA"/>
        </w:rPr>
      </w:pPr>
      <w:r>
        <w:rPr>
          <w:rFonts w:ascii="Arial" w:hAnsi="Arial" w:cs="Arial"/>
          <w:sz w:val="28"/>
          <w:szCs w:val="28"/>
          <w:lang w:val="fr-CA"/>
        </w:rPr>
        <w:t>FIN NOTE DE BAS DE PAGE 3.</w:t>
      </w:r>
    </w:p>
    <w:p w:rsidR="00037E86" w:rsidRDefault="00037E86" w:rsidP="00BE796C">
      <w:pPr>
        <w:widowControl/>
        <w:rPr>
          <w:rFonts w:ascii="Arial" w:hAnsi="Arial" w:cs="Arial"/>
          <w:sz w:val="28"/>
          <w:szCs w:val="28"/>
          <w:lang w:val="fr-CA"/>
        </w:rPr>
      </w:pPr>
    </w:p>
    <w:p w:rsidR="00307D44" w:rsidRPr="00BE796C" w:rsidRDefault="00307D44" w:rsidP="00BE796C">
      <w:pPr>
        <w:widowControl/>
        <w:rPr>
          <w:rFonts w:ascii="Arial" w:hAnsi="Arial" w:cs="Arial"/>
          <w:sz w:val="28"/>
          <w:szCs w:val="28"/>
          <w:lang w:val="fr-CA"/>
        </w:rPr>
      </w:pPr>
      <w:r w:rsidRPr="00037E86">
        <w:rPr>
          <w:rFonts w:ascii="Arial" w:hAnsi="Arial" w:cs="Arial"/>
          <w:b/>
          <w:sz w:val="28"/>
          <w:szCs w:val="28"/>
          <w:lang w:val="fr-CA"/>
        </w:rPr>
        <w:t>e)</w:t>
      </w:r>
      <w:r w:rsidRPr="00BE796C">
        <w:rPr>
          <w:rFonts w:ascii="Arial" w:hAnsi="Arial" w:cs="Arial"/>
          <w:sz w:val="28"/>
          <w:szCs w:val="28"/>
          <w:lang w:val="fr-CA"/>
        </w:rPr>
        <w:t xml:space="preserve"> imposer des droits pour les renseignements, produits ou services qu’elle fournit sous le régime de la présente loi, </w:t>
      </w:r>
      <w:r w:rsidRPr="00037E86">
        <w:rPr>
          <w:rFonts w:ascii="Arial" w:hAnsi="Arial" w:cs="Arial"/>
          <w:b/>
          <w:i/>
          <w:sz w:val="28"/>
          <w:szCs w:val="28"/>
          <w:lang w:val="fr-CA"/>
        </w:rPr>
        <w:t>s’il y a lieu</w:t>
      </w:r>
      <w:r w:rsidR="00037E86">
        <w:rPr>
          <w:rFonts w:ascii="Arial" w:hAnsi="Arial" w:cs="Arial"/>
          <w:sz w:val="28"/>
          <w:szCs w:val="28"/>
          <w:lang w:val="fr-CA"/>
        </w:rPr>
        <w:t>.</w:t>
      </w:r>
    </w:p>
    <w:p w:rsidR="00037E86" w:rsidRDefault="00037E86" w:rsidP="00BE796C">
      <w:pPr>
        <w:widowControl/>
        <w:rPr>
          <w:rFonts w:ascii="Arial" w:hAnsi="Arial" w:cs="Arial"/>
          <w:sz w:val="28"/>
          <w:szCs w:val="28"/>
          <w:lang w:val="fr-CA"/>
        </w:rPr>
      </w:pPr>
    </w:p>
    <w:p w:rsidR="00307D44" w:rsidRDefault="00307D44" w:rsidP="00BE796C">
      <w:pPr>
        <w:widowControl/>
        <w:rPr>
          <w:rFonts w:ascii="Arial" w:hAnsi="Arial" w:cs="Arial"/>
          <w:sz w:val="28"/>
          <w:szCs w:val="28"/>
          <w:lang w:val="fr-CA"/>
        </w:rPr>
      </w:pPr>
      <w:r w:rsidRPr="00BE796C">
        <w:rPr>
          <w:rFonts w:ascii="Arial" w:hAnsi="Arial" w:cs="Arial"/>
          <w:sz w:val="28"/>
          <w:szCs w:val="28"/>
          <w:lang w:val="fr-CA"/>
        </w:rPr>
        <w:t>Certains résumés de la Loi qui ont été fournis par le Parlement ou ses députés indiquent que l’OCENA peut mettre sur pied des sous-comités techniques pour la conseiller. Nous sommes fortement en faveur de cette approche, qui est couramment employée par d’autres organisations de normalisation à travers le monde. Nous soulignons toutefois que cette attribution importante n’est pas stipul</w:t>
      </w:r>
      <w:r w:rsidR="00037E86">
        <w:rPr>
          <w:rFonts w:ascii="Arial" w:hAnsi="Arial" w:cs="Arial"/>
          <w:sz w:val="28"/>
          <w:szCs w:val="28"/>
          <w:lang w:val="fr-CA"/>
        </w:rPr>
        <w:t>ée dans la Loi comme telle. Par</w:t>
      </w:r>
    </w:p>
    <w:p w:rsidR="00307D44" w:rsidRPr="00BE796C" w:rsidRDefault="00037E86" w:rsidP="00BE796C">
      <w:pPr>
        <w:widowControl/>
        <w:rPr>
          <w:rFonts w:ascii="Arial" w:hAnsi="Arial" w:cs="Arial"/>
          <w:sz w:val="28"/>
          <w:szCs w:val="28"/>
          <w:lang w:val="fr-CA"/>
        </w:rPr>
      </w:pPr>
      <w:r>
        <w:rPr>
          <w:rFonts w:ascii="Arial" w:hAnsi="Arial" w:cs="Arial"/>
          <w:sz w:val="28"/>
          <w:szCs w:val="28"/>
          <w:lang w:val="fr-CA"/>
        </w:rPr>
        <w:t>DÉBUT PAGE 4</w:t>
      </w:r>
    </w:p>
    <w:p w:rsidR="00307D44" w:rsidRDefault="00307D44" w:rsidP="00BE796C">
      <w:pPr>
        <w:widowControl/>
        <w:rPr>
          <w:rFonts w:ascii="Arial" w:hAnsi="Arial" w:cs="Arial"/>
          <w:sz w:val="28"/>
          <w:szCs w:val="28"/>
          <w:lang w:val="fr-CA"/>
        </w:rPr>
      </w:pPr>
      <w:proofErr w:type="gramStart"/>
      <w:r w:rsidRPr="00BE796C">
        <w:rPr>
          <w:rFonts w:ascii="Arial" w:hAnsi="Arial" w:cs="Arial"/>
          <w:sz w:val="28"/>
          <w:szCs w:val="28"/>
          <w:lang w:val="fr-CA"/>
        </w:rPr>
        <w:t>conséquent</w:t>
      </w:r>
      <w:proofErr w:type="gramEnd"/>
      <w:r w:rsidRPr="00BE796C">
        <w:rPr>
          <w:rFonts w:ascii="Arial" w:hAnsi="Arial" w:cs="Arial"/>
          <w:sz w:val="28"/>
          <w:szCs w:val="28"/>
          <w:lang w:val="fr-CA"/>
        </w:rPr>
        <w:t>, nous exhortons le Parlement à réviser le paragraphe 19(h) comme suit (le nouveau texte est en caractères gras et en italique)</w:t>
      </w:r>
      <w:r w:rsidR="00BE796C">
        <w:rPr>
          <w:rFonts w:ascii="Arial" w:hAnsi="Arial" w:cs="Arial"/>
          <w:sz w:val="28"/>
          <w:szCs w:val="28"/>
          <w:lang w:val="fr-CA"/>
        </w:rPr>
        <w:t> :</w:t>
      </w:r>
    </w:p>
    <w:p w:rsidR="00037E86" w:rsidRDefault="00037E86" w:rsidP="00BE796C">
      <w:pPr>
        <w:widowControl/>
        <w:rPr>
          <w:rFonts w:ascii="Arial" w:hAnsi="Arial" w:cs="Arial"/>
          <w:sz w:val="28"/>
          <w:szCs w:val="28"/>
          <w:lang w:val="fr-CA"/>
        </w:rPr>
      </w:pPr>
    </w:p>
    <w:p w:rsidR="00037E86" w:rsidRDefault="00037E86" w:rsidP="00BE796C">
      <w:pPr>
        <w:widowControl/>
        <w:rPr>
          <w:rFonts w:ascii="Arial" w:hAnsi="Arial" w:cs="Arial"/>
          <w:sz w:val="28"/>
          <w:szCs w:val="28"/>
          <w:lang w:val="fr-CA"/>
        </w:rPr>
      </w:pPr>
      <w:r>
        <w:rPr>
          <w:rFonts w:ascii="Arial" w:hAnsi="Arial" w:cs="Arial"/>
          <w:sz w:val="28"/>
          <w:szCs w:val="28"/>
          <w:lang w:val="fr-CA"/>
        </w:rPr>
        <w:t>DÉBUT NOTE DU PRODUCTEUR :</w:t>
      </w:r>
    </w:p>
    <w:p w:rsidR="00037E86" w:rsidRDefault="00F963AE" w:rsidP="00BE796C">
      <w:pPr>
        <w:widowControl/>
        <w:rPr>
          <w:rFonts w:ascii="Arial" w:hAnsi="Arial" w:cs="Arial"/>
          <w:sz w:val="28"/>
          <w:szCs w:val="28"/>
          <w:lang w:val="fr-CA"/>
        </w:rPr>
      </w:pPr>
      <w:r>
        <w:rPr>
          <w:rFonts w:ascii="Arial" w:hAnsi="Arial" w:cs="Arial"/>
          <w:sz w:val="28"/>
          <w:szCs w:val="28"/>
          <w:lang w:val="fr-CA"/>
        </w:rPr>
        <w:t>Les mots à retirer sont placés entre parenthèses.</w:t>
      </w:r>
    </w:p>
    <w:p w:rsidR="00037E86" w:rsidRDefault="00037E86" w:rsidP="00BE796C">
      <w:pPr>
        <w:widowControl/>
        <w:rPr>
          <w:rFonts w:ascii="Arial" w:hAnsi="Arial" w:cs="Arial"/>
          <w:sz w:val="28"/>
          <w:szCs w:val="28"/>
          <w:lang w:val="fr-CA"/>
        </w:rPr>
      </w:pPr>
      <w:r>
        <w:rPr>
          <w:rFonts w:ascii="Arial" w:hAnsi="Arial" w:cs="Arial"/>
          <w:sz w:val="28"/>
          <w:szCs w:val="28"/>
          <w:lang w:val="fr-CA"/>
        </w:rPr>
        <w:t>FIN NOTE DU PRODUCTEUR.</w:t>
      </w:r>
    </w:p>
    <w:p w:rsidR="00037E86" w:rsidRPr="00BE796C" w:rsidRDefault="00037E86" w:rsidP="00BE796C">
      <w:pPr>
        <w:widowControl/>
        <w:rPr>
          <w:rFonts w:ascii="Arial" w:hAnsi="Arial" w:cs="Arial"/>
          <w:sz w:val="28"/>
          <w:szCs w:val="28"/>
          <w:lang w:val="fr-CA"/>
        </w:rPr>
      </w:pPr>
    </w:p>
    <w:p w:rsidR="00307D44" w:rsidRDefault="00307D44" w:rsidP="00BE796C">
      <w:pPr>
        <w:widowControl/>
        <w:rPr>
          <w:rFonts w:ascii="Arial" w:hAnsi="Arial" w:cs="Arial"/>
          <w:sz w:val="28"/>
          <w:szCs w:val="28"/>
          <w:lang w:val="fr-CA"/>
        </w:rPr>
      </w:pPr>
      <w:r w:rsidRPr="00037E86">
        <w:rPr>
          <w:rFonts w:ascii="Arial" w:hAnsi="Arial" w:cs="Arial"/>
          <w:b/>
          <w:sz w:val="28"/>
          <w:szCs w:val="28"/>
          <w:lang w:val="fr-CA"/>
        </w:rPr>
        <w:t>h)</w:t>
      </w:r>
      <w:r w:rsidRPr="00BE796C">
        <w:rPr>
          <w:rFonts w:ascii="Arial" w:hAnsi="Arial" w:cs="Arial"/>
          <w:sz w:val="28"/>
          <w:szCs w:val="28"/>
          <w:lang w:val="fr-CA"/>
        </w:rPr>
        <w:t xml:space="preserve"> effectuer toute autre activité, </w:t>
      </w:r>
      <w:r w:rsidRPr="00037E86">
        <w:rPr>
          <w:rFonts w:ascii="Arial" w:hAnsi="Arial" w:cs="Arial"/>
          <w:b/>
          <w:i/>
          <w:sz w:val="28"/>
          <w:szCs w:val="28"/>
          <w:lang w:val="fr-CA"/>
        </w:rPr>
        <w:t xml:space="preserve">y compris la création de comités techniques formés de spécialistes de l’industrie, d’experts en normes, de personnes handicapées et de leurs représentants, de représentants d’organisations ou de secteurs touchés, et d’autres parties intéressées, </w:t>
      </w:r>
      <w:r w:rsidR="00037E86">
        <w:rPr>
          <w:rFonts w:ascii="Arial" w:hAnsi="Arial" w:cs="Arial"/>
          <w:b/>
          <w:i/>
          <w:sz w:val="28"/>
          <w:szCs w:val="28"/>
          <w:lang w:val="fr-CA"/>
        </w:rPr>
        <w:t>(</w:t>
      </w:r>
      <w:proofErr w:type="gramStart"/>
      <w:r w:rsidRPr="00037E86">
        <w:rPr>
          <w:rFonts w:ascii="Arial" w:hAnsi="Arial" w:cs="Arial"/>
          <w:b/>
          <w:i/>
          <w:sz w:val="28"/>
          <w:szCs w:val="28"/>
          <w:lang w:val="fr-CA"/>
        </w:rPr>
        <w:t>qu’elle</w:t>
      </w:r>
      <w:proofErr w:type="gramEnd"/>
      <w:r w:rsidRPr="00037E86">
        <w:rPr>
          <w:rFonts w:ascii="Arial" w:hAnsi="Arial" w:cs="Arial"/>
          <w:b/>
          <w:i/>
          <w:sz w:val="28"/>
          <w:szCs w:val="28"/>
          <w:lang w:val="fr-CA"/>
        </w:rPr>
        <w:t xml:space="preserve"> estime</w:t>
      </w:r>
      <w:r w:rsidR="00037E86">
        <w:rPr>
          <w:rFonts w:ascii="Arial" w:hAnsi="Arial" w:cs="Arial"/>
          <w:b/>
          <w:i/>
          <w:sz w:val="28"/>
          <w:szCs w:val="28"/>
          <w:lang w:val="fr-CA"/>
        </w:rPr>
        <w:t>)</w:t>
      </w:r>
      <w:r w:rsidRPr="00BE796C">
        <w:rPr>
          <w:rFonts w:ascii="Arial" w:hAnsi="Arial" w:cs="Arial"/>
          <w:sz w:val="28"/>
          <w:szCs w:val="28"/>
          <w:lang w:val="fr-CA"/>
        </w:rPr>
        <w:t xml:space="preserve"> utile à la réalisation de sa mission et à </w:t>
      </w:r>
      <w:r w:rsidR="00037E86">
        <w:rPr>
          <w:rFonts w:ascii="Arial" w:hAnsi="Arial" w:cs="Arial"/>
          <w:sz w:val="28"/>
          <w:szCs w:val="28"/>
          <w:lang w:val="fr-CA"/>
        </w:rPr>
        <w:t>l’exercice de ses attributions.</w:t>
      </w:r>
    </w:p>
    <w:p w:rsidR="00037E86" w:rsidRPr="00BE796C" w:rsidRDefault="00037E86" w:rsidP="00BE796C">
      <w:pPr>
        <w:widowControl/>
        <w:rPr>
          <w:rFonts w:ascii="Arial" w:hAnsi="Arial" w:cs="Arial"/>
          <w:sz w:val="28"/>
          <w:szCs w:val="28"/>
          <w:lang w:val="fr-CA"/>
        </w:rPr>
      </w:pPr>
    </w:p>
    <w:p w:rsidR="00307D44" w:rsidRPr="00BE796C" w:rsidRDefault="00307D44" w:rsidP="00BE796C">
      <w:pPr>
        <w:widowControl/>
        <w:rPr>
          <w:rFonts w:ascii="Arial" w:hAnsi="Arial" w:cs="Arial"/>
          <w:sz w:val="28"/>
          <w:szCs w:val="28"/>
          <w:lang w:val="fr-CA"/>
        </w:rPr>
      </w:pPr>
      <w:r w:rsidRPr="00BE796C">
        <w:rPr>
          <w:rFonts w:ascii="Arial" w:hAnsi="Arial" w:cs="Arial"/>
          <w:sz w:val="28"/>
          <w:szCs w:val="28"/>
          <w:lang w:val="fr-CA"/>
        </w:rPr>
        <w:t>Encore une fois, nous remercions le Comité HUMA de nous donner l’occasion de formuler des commentaires et des recommandations au sujet du projet de loi C</w:t>
      </w:r>
      <w:r w:rsidR="00D82CF5">
        <w:rPr>
          <w:rFonts w:ascii="Arial" w:hAnsi="Arial" w:cs="Arial"/>
          <w:sz w:val="28"/>
          <w:szCs w:val="28"/>
          <w:lang w:val="fr-CA"/>
        </w:rPr>
        <w:t>-</w:t>
      </w:r>
      <w:r w:rsidRPr="00BE796C">
        <w:rPr>
          <w:rFonts w:ascii="Arial" w:hAnsi="Arial" w:cs="Arial"/>
          <w:sz w:val="28"/>
          <w:szCs w:val="28"/>
          <w:lang w:val="fr-CA"/>
        </w:rPr>
        <w:t>81. N</w:t>
      </w:r>
      <w:bookmarkStart w:id="0" w:name="_GoBack"/>
      <w:bookmarkEnd w:id="0"/>
      <w:r w:rsidRPr="00BE796C">
        <w:rPr>
          <w:rFonts w:ascii="Arial" w:hAnsi="Arial" w:cs="Arial"/>
          <w:sz w:val="28"/>
          <w:szCs w:val="28"/>
          <w:lang w:val="fr-CA"/>
        </w:rPr>
        <w:t>ous nous ferons un plaisir de rencontrer les membres du Comité et d’autres députés intéressés pour fournir de plus amples renseignements concernant notre présentation et p</w:t>
      </w:r>
      <w:r w:rsidR="00F963AE">
        <w:rPr>
          <w:rFonts w:ascii="Arial" w:hAnsi="Arial" w:cs="Arial"/>
          <w:sz w:val="28"/>
          <w:szCs w:val="28"/>
          <w:lang w:val="fr-CA"/>
        </w:rPr>
        <w:t>our répondre à leurs questions.</w:t>
      </w:r>
    </w:p>
    <w:p w:rsidR="00F963AE" w:rsidRDefault="00F963AE" w:rsidP="00BE796C">
      <w:pPr>
        <w:widowControl/>
        <w:rPr>
          <w:rFonts w:ascii="Arial" w:hAnsi="Arial" w:cs="Arial"/>
          <w:sz w:val="28"/>
          <w:szCs w:val="28"/>
          <w:lang w:val="fr-CA"/>
        </w:rPr>
      </w:pPr>
    </w:p>
    <w:p w:rsidR="00307D44" w:rsidRDefault="00307D44" w:rsidP="00BE796C">
      <w:pPr>
        <w:widowControl/>
        <w:rPr>
          <w:rFonts w:ascii="Arial" w:hAnsi="Arial" w:cs="Arial"/>
          <w:sz w:val="28"/>
          <w:szCs w:val="28"/>
          <w:lang w:val="fr-CA"/>
        </w:rPr>
      </w:pPr>
      <w:r w:rsidRPr="00BE796C">
        <w:rPr>
          <w:rFonts w:ascii="Arial" w:hAnsi="Arial" w:cs="Arial"/>
          <w:sz w:val="28"/>
          <w:szCs w:val="28"/>
          <w:lang w:val="fr-CA"/>
        </w:rPr>
        <w:t xml:space="preserve">Pour toute question, veuillez communiquer avec </w:t>
      </w:r>
      <w:proofErr w:type="spellStart"/>
      <w:r w:rsidRPr="00BE796C">
        <w:rPr>
          <w:rFonts w:ascii="Arial" w:hAnsi="Arial" w:cs="Arial"/>
          <w:sz w:val="28"/>
          <w:szCs w:val="28"/>
          <w:lang w:val="fr-CA"/>
        </w:rPr>
        <w:t>Nevin</w:t>
      </w:r>
      <w:proofErr w:type="spellEnd"/>
      <w:r w:rsidRPr="00BE796C">
        <w:rPr>
          <w:rFonts w:ascii="Arial" w:hAnsi="Arial" w:cs="Arial"/>
          <w:sz w:val="28"/>
          <w:szCs w:val="28"/>
          <w:lang w:val="fr-CA"/>
        </w:rPr>
        <w:t xml:space="preserve"> French, vice</w:t>
      </w:r>
      <w:r w:rsidR="00D82CF5">
        <w:rPr>
          <w:rFonts w:ascii="Arial" w:hAnsi="Arial" w:cs="Arial"/>
          <w:sz w:val="28"/>
          <w:szCs w:val="28"/>
          <w:lang w:val="fr-CA"/>
        </w:rPr>
        <w:t>-</w:t>
      </w:r>
      <w:r w:rsidRPr="00BE796C">
        <w:rPr>
          <w:rFonts w:ascii="Arial" w:hAnsi="Arial" w:cs="Arial"/>
          <w:sz w:val="28"/>
          <w:szCs w:val="28"/>
          <w:lang w:val="fr-CA"/>
        </w:rPr>
        <w:t xml:space="preserve">président des politiques, ACTI, à l’adresse </w:t>
      </w:r>
      <w:hyperlink r:id="rId7" w:history="1">
        <w:r w:rsidR="00273E58" w:rsidRPr="003162D8">
          <w:rPr>
            <w:rStyle w:val="Lienhypertexte"/>
            <w:rFonts w:ascii="Arial" w:hAnsi="Arial" w:cs="Arial"/>
            <w:sz w:val="28"/>
            <w:szCs w:val="28"/>
            <w:lang w:val="fr-CA"/>
          </w:rPr>
          <w:t>nfrench@itac.ca</w:t>
        </w:r>
      </w:hyperlink>
      <w:r w:rsidR="00273E58">
        <w:rPr>
          <w:rFonts w:ascii="Arial" w:hAnsi="Arial" w:cs="Arial"/>
          <w:sz w:val="28"/>
          <w:szCs w:val="28"/>
          <w:lang w:val="fr-CA"/>
        </w:rPr>
        <w:t xml:space="preserve"> </w:t>
      </w:r>
      <w:r w:rsidRPr="00BE796C">
        <w:rPr>
          <w:rFonts w:ascii="Arial" w:hAnsi="Arial" w:cs="Arial"/>
          <w:sz w:val="28"/>
          <w:szCs w:val="28"/>
          <w:lang w:val="fr-CA"/>
        </w:rPr>
        <w:t>ou au n</w:t>
      </w:r>
      <w:r w:rsidR="00F963AE">
        <w:rPr>
          <w:rFonts w:ascii="Arial" w:hAnsi="Arial" w:cs="Arial"/>
          <w:sz w:val="28"/>
          <w:szCs w:val="28"/>
          <w:lang w:val="fr-CA"/>
        </w:rPr>
        <w:t>uméro 613-238-4822, poste 2227.</w:t>
      </w:r>
    </w:p>
    <w:p w:rsidR="00F963AE" w:rsidRDefault="00F963AE" w:rsidP="00BE796C">
      <w:pPr>
        <w:widowControl/>
        <w:rPr>
          <w:rFonts w:ascii="Arial" w:hAnsi="Arial" w:cs="Arial"/>
          <w:sz w:val="28"/>
          <w:szCs w:val="28"/>
          <w:lang w:val="fr-CA"/>
        </w:rPr>
      </w:pPr>
    </w:p>
    <w:p w:rsidR="00273E58" w:rsidRDefault="00273E58" w:rsidP="00BE796C">
      <w:pPr>
        <w:widowControl/>
        <w:rPr>
          <w:rFonts w:ascii="Arial" w:hAnsi="Arial" w:cs="Arial"/>
          <w:sz w:val="28"/>
          <w:szCs w:val="28"/>
          <w:lang w:val="fr-CA"/>
        </w:rPr>
      </w:pPr>
      <w:r w:rsidRPr="00BE796C">
        <w:rPr>
          <w:rFonts w:ascii="Arial" w:hAnsi="Arial" w:cs="Arial"/>
          <w:sz w:val="28"/>
          <w:szCs w:val="28"/>
          <w:lang w:val="fr-CA"/>
        </w:rPr>
        <w:t>Merci de votre attention.</w:t>
      </w:r>
    </w:p>
    <w:p w:rsidR="00273E58" w:rsidRDefault="00273E58" w:rsidP="00BE796C">
      <w:pPr>
        <w:widowControl/>
        <w:rPr>
          <w:rFonts w:ascii="Arial" w:hAnsi="Arial" w:cs="Arial"/>
          <w:sz w:val="28"/>
          <w:szCs w:val="28"/>
          <w:lang w:val="fr-CA"/>
        </w:rPr>
      </w:pPr>
    </w:p>
    <w:p w:rsidR="00273E58" w:rsidRPr="00BE796C" w:rsidRDefault="00273E58" w:rsidP="00273E58">
      <w:pPr>
        <w:widowControl/>
        <w:rPr>
          <w:rFonts w:ascii="Arial" w:hAnsi="Arial" w:cs="Arial"/>
          <w:sz w:val="28"/>
          <w:szCs w:val="28"/>
          <w:lang w:val="fr-CA"/>
        </w:rPr>
      </w:pPr>
      <w:r>
        <w:rPr>
          <w:rFonts w:ascii="Arial" w:hAnsi="Arial" w:cs="Arial"/>
          <w:sz w:val="28"/>
          <w:szCs w:val="28"/>
          <w:lang w:val="fr-CA"/>
        </w:rPr>
        <w:t>ACTI</w:t>
      </w:r>
    </w:p>
    <w:p w:rsidR="00273E58" w:rsidRPr="00BE796C" w:rsidRDefault="00273E58" w:rsidP="00273E58">
      <w:pPr>
        <w:widowControl/>
        <w:rPr>
          <w:rFonts w:ascii="Arial" w:hAnsi="Arial" w:cs="Arial"/>
          <w:sz w:val="28"/>
          <w:szCs w:val="28"/>
          <w:lang w:val="fr-CA"/>
        </w:rPr>
      </w:pPr>
      <w:r w:rsidRPr="00BE796C">
        <w:rPr>
          <w:rFonts w:ascii="Arial" w:hAnsi="Arial" w:cs="Arial"/>
          <w:sz w:val="28"/>
          <w:szCs w:val="28"/>
          <w:lang w:val="fr-CA"/>
        </w:rPr>
        <w:t>5090,</w:t>
      </w:r>
      <w:r>
        <w:rPr>
          <w:rFonts w:ascii="Arial" w:hAnsi="Arial" w:cs="Arial"/>
          <w:sz w:val="28"/>
          <w:szCs w:val="28"/>
          <w:lang w:val="fr-CA"/>
        </w:rPr>
        <w:t xml:space="preserve"> promenade Explorer, bureau 510</w:t>
      </w:r>
    </w:p>
    <w:p w:rsidR="00273E58" w:rsidRPr="00BE796C" w:rsidRDefault="00273E58" w:rsidP="00273E58">
      <w:pPr>
        <w:widowControl/>
        <w:rPr>
          <w:rFonts w:ascii="Arial" w:hAnsi="Arial" w:cs="Arial"/>
          <w:sz w:val="28"/>
          <w:szCs w:val="28"/>
          <w:lang w:val="fr-CA"/>
        </w:rPr>
      </w:pPr>
      <w:r>
        <w:rPr>
          <w:rFonts w:ascii="Arial" w:hAnsi="Arial" w:cs="Arial"/>
          <w:sz w:val="28"/>
          <w:szCs w:val="28"/>
          <w:lang w:val="fr-CA"/>
        </w:rPr>
        <w:lastRenderedPageBreak/>
        <w:t>Mississauga (Ontario) L4W 4T9</w:t>
      </w:r>
    </w:p>
    <w:p w:rsidR="00273E58" w:rsidRDefault="00273E58" w:rsidP="00273E58">
      <w:pPr>
        <w:widowControl/>
        <w:rPr>
          <w:rFonts w:ascii="Arial" w:hAnsi="Arial" w:cs="Arial"/>
          <w:sz w:val="28"/>
          <w:szCs w:val="28"/>
          <w:lang w:val="fr-CA"/>
        </w:rPr>
      </w:pPr>
      <w:hyperlink r:id="rId8" w:history="1">
        <w:r w:rsidRPr="003162D8">
          <w:rPr>
            <w:rStyle w:val="Lienhypertexte"/>
            <w:rFonts w:ascii="Arial" w:hAnsi="Arial" w:cs="Arial"/>
            <w:sz w:val="28"/>
            <w:szCs w:val="28"/>
            <w:lang w:val="fr-CA"/>
          </w:rPr>
          <w:t>www.itac.ca</w:t>
        </w:r>
      </w:hyperlink>
    </w:p>
    <w:p w:rsidR="00273E58" w:rsidRDefault="00273E58" w:rsidP="00273E58">
      <w:pPr>
        <w:widowControl/>
        <w:rPr>
          <w:rFonts w:ascii="Arial" w:hAnsi="Arial" w:cs="Arial"/>
          <w:sz w:val="28"/>
          <w:szCs w:val="28"/>
          <w:lang w:val="fr-CA"/>
        </w:rPr>
      </w:pPr>
    </w:p>
    <w:p w:rsidR="00273E58" w:rsidRPr="00273E58" w:rsidRDefault="00273E58" w:rsidP="00273E58">
      <w:pPr>
        <w:widowControl/>
        <w:rPr>
          <w:rFonts w:ascii="Arial" w:hAnsi="Arial" w:cs="Arial"/>
          <w:sz w:val="28"/>
          <w:szCs w:val="28"/>
          <w:lang w:val="en-CA"/>
        </w:rPr>
      </w:pPr>
      <w:r>
        <w:rPr>
          <w:rFonts w:ascii="Arial" w:hAnsi="Arial" w:cs="Arial"/>
          <w:sz w:val="28"/>
          <w:szCs w:val="28"/>
          <w:lang w:val="en-CA"/>
        </w:rPr>
        <w:t>ITI</w:t>
      </w:r>
    </w:p>
    <w:p w:rsidR="00273E58" w:rsidRPr="00273E58" w:rsidRDefault="00273E58" w:rsidP="00273E58">
      <w:pPr>
        <w:widowControl/>
        <w:rPr>
          <w:rFonts w:ascii="Arial" w:hAnsi="Arial" w:cs="Arial"/>
          <w:sz w:val="28"/>
          <w:szCs w:val="28"/>
          <w:lang w:val="en-CA"/>
        </w:rPr>
      </w:pPr>
      <w:r>
        <w:rPr>
          <w:rFonts w:ascii="Arial" w:hAnsi="Arial" w:cs="Arial"/>
          <w:sz w:val="28"/>
          <w:szCs w:val="28"/>
          <w:lang w:val="en-CA"/>
        </w:rPr>
        <w:t>1001, K. Street, NW</w:t>
      </w:r>
    </w:p>
    <w:p w:rsidR="00273E58" w:rsidRPr="00273E58" w:rsidRDefault="00273E58" w:rsidP="00273E58">
      <w:pPr>
        <w:widowControl/>
        <w:rPr>
          <w:rFonts w:ascii="Arial" w:hAnsi="Arial" w:cs="Arial"/>
          <w:sz w:val="28"/>
          <w:szCs w:val="28"/>
          <w:lang w:val="en-CA"/>
        </w:rPr>
      </w:pPr>
      <w:r w:rsidRPr="00273E58">
        <w:rPr>
          <w:rFonts w:ascii="Arial" w:hAnsi="Arial" w:cs="Arial"/>
          <w:sz w:val="28"/>
          <w:szCs w:val="28"/>
          <w:lang w:val="en-CA"/>
        </w:rPr>
        <w:t>Suit</w:t>
      </w:r>
      <w:r>
        <w:rPr>
          <w:rFonts w:ascii="Arial" w:hAnsi="Arial" w:cs="Arial"/>
          <w:sz w:val="28"/>
          <w:szCs w:val="28"/>
          <w:lang w:val="en-CA"/>
        </w:rPr>
        <w:t>e 610</w:t>
      </w:r>
    </w:p>
    <w:p w:rsidR="00273E58" w:rsidRPr="00273E58" w:rsidRDefault="00273E58" w:rsidP="00273E58">
      <w:pPr>
        <w:widowControl/>
        <w:rPr>
          <w:rFonts w:ascii="Arial" w:hAnsi="Arial" w:cs="Arial"/>
          <w:sz w:val="28"/>
          <w:szCs w:val="28"/>
          <w:lang w:val="en-CA"/>
        </w:rPr>
      </w:pPr>
      <w:r>
        <w:rPr>
          <w:rFonts w:ascii="Arial" w:hAnsi="Arial" w:cs="Arial"/>
          <w:sz w:val="28"/>
          <w:szCs w:val="28"/>
          <w:lang w:val="en-CA"/>
        </w:rPr>
        <w:t>Washington, DC 20005</w:t>
      </w:r>
    </w:p>
    <w:p w:rsidR="00273E58" w:rsidRDefault="00273E58" w:rsidP="00273E58">
      <w:pPr>
        <w:widowControl/>
        <w:rPr>
          <w:rFonts w:ascii="Arial" w:hAnsi="Arial" w:cs="Arial"/>
          <w:sz w:val="28"/>
          <w:szCs w:val="28"/>
          <w:lang w:val="fr-CA"/>
        </w:rPr>
      </w:pPr>
      <w:hyperlink r:id="rId9" w:history="1">
        <w:r w:rsidRPr="003162D8">
          <w:rPr>
            <w:rStyle w:val="Lienhypertexte"/>
            <w:rFonts w:ascii="Arial" w:hAnsi="Arial" w:cs="Arial"/>
            <w:sz w:val="28"/>
            <w:szCs w:val="28"/>
            <w:lang w:val="fr-CA"/>
          </w:rPr>
          <w:t>www.itic.org</w:t>
        </w:r>
      </w:hyperlink>
    </w:p>
    <w:p w:rsidR="00F27BE1" w:rsidRDefault="00F27BE1" w:rsidP="00BE796C">
      <w:pPr>
        <w:widowControl/>
        <w:rPr>
          <w:rFonts w:ascii="Arial" w:hAnsi="Arial" w:cs="Arial"/>
          <w:sz w:val="28"/>
          <w:szCs w:val="28"/>
          <w:lang w:val="fr-CA"/>
        </w:rPr>
      </w:pPr>
    </w:p>
    <w:p w:rsidR="00273E58" w:rsidRPr="00BE796C" w:rsidRDefault="00273E58" w:rsidP="00BE796C">
      <w:pPr>
        <w:widowControl/>
        <w:rPr>
          <w:rFonts w:ascii="Arial" w:hAnsi="Arial" w:cs="Arial"/>
          <w:sz w:val="28"/>
          <w:szCs w:val="28"/>
          <w:lang w:val="fr-CA"/>
        </w:rPr>
      </w:pPr>
      <w:r>
        <w:rPr>
          <w:rFonts w:ascii="Arial" w:hAnsi="Arial" w:cs="Arial"/>
          <w:sz w:val="28"/>
          <w:szCs w:val="28"/>
          <w:lang w:val="fr-CA"/>
        </w:rPr>
        <w:t>FIN DU FICHIER 1 DE 1.</w:t>
      </w:r>
    </w:p>
    <w:sectPr w:rsidR="00273E58" w:rsidRPr="00BE796C" w:rsidSect="00BE796C">
      <w:pgSz w:w="12240" w:h="15840"/>
      <w:pgMar w:top="1440" w:right="1321" w:bottom="1440" w:left="132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F1"/>
    <w:rsid w:val="00003A52"/>
    <w:rsid w:val="00012EFF"/>
    <w:rsid w:val="000159A0"/>
    <w:rsid w:val="0002045C"/>
    <w:rsid w:val="000274CB"/>
    <w:rsid w:val="00032503"/>
    <w:rsid w:val="00037E86"/>
    <w:rsid w:val="00083840"/>
    <w:rsid w:val="00087673"/>
    <w:rsid w:val="000A27E1"/>
    <w:rsid w:val="000A383E"/>
    <w:rsid w:val="00101D02"/>
    <w:rsid w:val="0011120A"/>
    <w:rsid w:val="00113DAD"/>
    <w:rsid w:val="00116F14"/>
    <w:rsid w:val="00126B67"/>
    <w:rsid w:val="00142FF6"/>
    <w:rsid w:val="0014681B"/>
    <w:rsid w:val="00166CB8"/>
    <w:rsid w:val="00195BD6"/>
    <w:rsid w:val="001A0782"/>
    <w:rsid w:val="001A5D33"/>
    <w:rsid w:val="001C5CBB"/>
    <w:rsid w:val="001D0E5C"/>
    <w:rsid w:val="00200134"/>
    <w:rsid w:val="00201FE9"/>
    <w:rsid w:val="00221188"/>
    <w:rsid w:val="002221B7"/>
    <w:rsid w:val="002225D6"/>
    <w:rsid w:val="0026454F"/>
    <w:rsid w:val="00273E58"/>
    <w:rsid w:val="002756F6"/>
    <w:rsid w:val="002A4705"/>
    <w:rsid w:val="002B42DA"/>
    <w:rsid w:val="002B53A3"/>
    <w:rsid w:val="002B6B5F"/>
    <w:rsid w:val="002D689A"/>
    <w:rsid w:val="002E2522"/>
    <w:rsid w:val="002E429E"/>
    <w:rsid w:val="002F3985"/>
    <w:rsid w:val="00306947"/>
    <w:rsid w:val="00307D44"/>
    <w:rsid w:val="00325977"/>
    <w:rsid w:val="00337DC8"/>
    <w:rsid w:val="003470C1"/>
    <w:rsid w:val="00360A71"/>
    <w:rsid w:val="003648B8"/>
    <w:rsid w:val="00364931"/>
    <w:rsid w:val="00390CF6"/>
    <w:rsid w:val="003B54A7"/>
    <w:rsid w:val="003C2045"/>
    <w:rsid w:val="003C6E31"/>
    <w:rsid w:val="003D70C2"/>
    <w:rsid w:val="003E3D89"/>
    <w:rsid w:val="003F435C"/>
    <w:rsid w:val="00400CEE"/>
    <w:rsid w:val="00406E5A"/>
    <w:rsid w:val="0041596D"/>
    <w:rsid w:val="004219B6"/>
    <w:rsid w:val="004236BF"/>
    <w:rsid w:val="00427094"/>
    <w:rsid w:val="00430BA5"/>
    <w:rsid w:val="004343EB"/>
    <w:rsid w:val="00440EBB"/>
    <w:rsid w:val="00452471"/>
    <w:rsid w:val="00462BD8"/>
    <w:rsid w:val="004757A4"/>
    <w:rsid w:val="0048314E"/>
    <w:rsid w:val="0049134C"/>
    <w:rsid w:val="004C5A64"/>
    <w:rsid w:val="004E4AF6"/>
    <w:rsid w:val="00501A4F"/>
    <w:rsid w:val="00511F30"/>
    <w:rsid w:val="005153ED"/>
    <w:rsid w:val="00527309"/>
    <w:rsid w:val="0053353D"/>
    <w:rsid w:val="005514BA"/>
    <w:rsid w:val="0055246B"/>
    <w:rsid w:val="00553A4B"/>
    <w:rsid w:val="0057395B"/>
    <w:rsid w:val="00573DFC"/>
    <w:rsid w:val="00576DA9"/>
    <w:rsid w:val="005845C3"/>
    <w:rsid w:val="00597C19"/>
    <w:rsid w:val="005A7C8F"/>
    <w:rsid w:val="005B1023"/>
    <w:rsid w:val="005C584E"/>
    <w:rsid w:val="005C7C2B"/>
    <w:rsid w:val="005E2AF1"/>
    <w:rsid w:val="005E4F4F"/>
    <w:rsid w:val="005F4A47"/>
    <w:rsid w:val="00607391"/>
    <w:rsid w:val="00617C36"/>
    <w:rsid w:val="006229F8"/>
    <w:rsid w:val="006234EF"/>
    <w:rsid w:val="00642229"/>
    <w:rsid w:val="006551DE"/>
    <w:rsid w:val="006771A3"/>
    <w:rsid w:val="0068313D"/>
    <w:rsid w:val="00696571"/>
    <w:rsid w:val="006A4ED1"/>
    <w:rsid w:val="006C1A96"/>
    <w:rsid w:val="006C281F"/>
    <w:rsid w:val="006C4EEC"/>
    <w:rsid w:val="006E0CC0"/>
    <w:rsid w:val="006F2E25"/>
    <w:rsid w:val="007101B1"/>
    <w:rsid w:val="007121E6"/>
    <w:rsid w:val="00727289"/>
    <w:rsid w:val="007322C3"/>
    <w:rsid w:val="00757E65"/>
    <w:rsid w:val="007610A8"/>
    <w:rsid w:val="0077562E"/>
    <w:rsid w:val="00792D45"/>
    <w:rsid w:val="007C406F"/>
    <w:rsid w:val="008265F9"/>
    <w:rsid w:val="00830951"/>
    <w:rsid w:val="0083577B"/>
    <w:rsid w:val="008671D4"/>
    <w:rsid w:val="0087261D"/>
    <w:rsid w:val="00881615"/>
    <w:rsid w:val="00887573"/>
    <w:rsid w:val="00891F24"/>
    <w:rsid w:val="00896344"/>
    <w:rsid w:val="008B24E9"/>
    <w:rsid w:val="008C329D"/>
    <w:rsid w:val="008C7975"/>
    <w:rsid w:val="008C7B29"/>
    <w:rsid w:val="008F55A0"/>
    <w:rsid w:val="0091589E"/>
    <w:rsid w:val="009329CF"/>
    <w:rsid w:val="00951D20"/>
    <w:rsid w:val="00961A78"/>
    <w:rsid w:val="00981547"/>
    <w:rsid w:val="009913A9"/>
    <w:rsid w:val="00995CB2"/>
    <w:rsid w:val="009C2EA9"/>
    <w:rsid w:val="009C38EF"/>
    <w:rsid w:val="009D45F9"/>
    <w:rsid w:val="009E2D08"/>
    <w:rsid w:val="009E7BCE"/>
    <w:rsid w:val="009F58C9"/>
    <w:rsid w:val="009F6CE7"/>
    <w:rsid w:val="00A007D6"/>
    <w:rsid w:val="00A3188A"/>
    <w:rsid w:val="00A36CCE"/>
    <w:rsid w:val="00A472F4"/>
    <w:rsid w:val="00A5264C"/>
    <w:rsid w:val="00A54BE1"/>
    <w:rsid w:val="00A63531"/>
    <w:rsid w:val="00A75980"/>
    <w:rsid w:val="00A831C4"/>
    <w:rsid w:val="00A93004"/>
    <w:rsid w:val="00AA6D60"/>
    <w:rsid w:val="00AB06C6"/>
    <w:rsid w:val="00AB2DFE"/>
    <w:rsid w:val="00AD1E22"/>
    <w:rsid w:val="00AF1BA9"/>
    <w:rsid w:val="00B14DBD"/>
    <w:rsid w:val="00B239C3"/>
    <w:rsid w:val="00B2508F"/>
    <w:rsid w:val="00B303A5"/>
    <w:rsid w:val="00B36F16"/>
    <w:rsid w:val="00B468FD"/>
    <w:rsid w:val="00B5057E"/>
    <w:rsid w:val="00B505F5"/>
    <w:rsid w:val="00B75BD2"/>
    <w:rsid w:val="00B9618D"/>
    <w:rsid w:val="00B9679F"/>
    <w:rsid w:val="00BB64BE"/>
    <w:rsid w:val="00BE322B"/>
    <w:rsid w:val="00BE64C5"/>
    <w:rsid w:val="00BE796C"/>
    <w:rsid w:val="00BE7A89"/>
    <w:rsid w:val="00BF0F28"/>
    <w:rsid w:val="00BF11C7"/>
    <w:rsid w:val="00C128FC"/>
    <w:rsid w:val="00C159C3"/>
    <w:rsid w:val="00C30AA9"/>
    <w:rsid w:val="00C438DC"/>
    <w:rsid w:val="00C45A0B"/>
    <w:rsid w:val="00C46D0F"/>
    <w:rsid w:val="00C504B8"/>
    <w:rsid w:val="00C544E8"/>
    <w:rsid w:val="00C54853"/>
    <w:rsid w:val="00C552E1"/>
    <w:rsid w:val="00C758C7"/>
    <w:rsid w:val="00C86B5C"/>
    <w:rsid w:val="00C904F5"/>
    <w:rsid w:val="00CB342B"/>
    <w:rsid w:val="00CD74FD"/>
    <w:rsid w:val="00CF240B"/>
    <w:rsid w:val="00CF3B61"/>
    <w:rsid w:val="00CF585B"/>
    <w:rsid w:val="00D06A65"/>
    <w:rsid w:val="00D1416B"/>
    <w:rsid w:val="00D23E58"/>
    <w:rsid w:val="00D4541F"/>
    <w:rsid w:val="00D46008"/>
    <w:rsid w:val="00D46FD2"/>
    <w:rsid w:val="00D63C01"/>
    <w:rsid w:val="00D6525E"/>
    <w:rsid w:val="00D70760"/>
    <w:rsid w:val="00D82CF5"/>
    <w:rsid w:val="00D847B4"/>
    <w:rsid w:val="00D84FE5"/>
    <w:rsid w:val="00D879A1"/>
    <w:rsid w:val="00D879E4"/>
    <w:rsid w:val="00DA4AC8"/>
    <w:rsid w:val="00DA61B9"/>
    <w:rsid w:val="00DC1ACA"/>
    <w:rsid w:val="00DE23E2"/>
    <w:rsid w:val="00E010CF"/>
    <w:rsid w:val="00E0140B"/>
    <w:rsid w:val="00E03A3C"/>
    <w:rsid w:val="00E26AFB"/>
    <w:rsid w:val="00E3333F"/>
    <w:rsid w:val="00E558AA"/>
    <w:rsid w:val="00E62F6F"/>
    <w:rsid w:val="00E72E7F"/>
    <w:rsid w:val="00EC68B7"/>
    <w:rsid w:val="00EE448E"/>
    <w:rsid w:val="00EF0484"/>
    <w:rsid w:val="00F03909"/>
    <w:rsid w:val="00F071B5"/>
    <w:rsid w:val="00F250DC"/>
    <w:rsid w:val="00F27BE1"/>
    <w:rsid w:val="00F300B3"/>
    <w:rsid w:val="00F4300F"/>
    <w:rsid w:val="00F433E2"/>
    <w:rsid w:val="00F51256"/>
    <w:rsid w:val="00F53717"/>
    <w:rsid w:val="00F6254F"/>
    <w:rsid w:val="00F7664F"/>
    <w:rsid w:val="00F93787"/>
    <w:rsid w:val="00F963AE"/>
    <w:rsid w:val="00FB216E"/>
    <w:rsid w:val="00FC091A"/>
    <w:rsid w:val="00FC0BAF"/>
    <w:rsid w:val="00FC4537"/>
    <w:rsid w:val="00FC5E04"/>
    <w:rsid w:val="00FD47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71"/>
    <w:pPr>
      <w:widowControl w:val="0"/>
      <w:kinsoku w:val="0"/>
      <w:overflowPunct w:val="0"/>
      <w:textAlignment w:val="baseline"/>
    </w:pPr>
    <w:rPr>
      <w:rFonts w:ascii="Times New Roman" w:hAnsi="Times New Roman"/>
      <w:sz w:val="24"/>
      <w:szCs w:val="24"/>
      <w:lang w:val="fr-FR"/>
    </w:rPr>
  </w:style>
  <w:style w:type="paragraph" w:styleId="Titre1">
    <w:name w:val="heading 1"/>
    <w:basedOn w:val="Normal"/>
    <w:next w:val="Normal"/>
    <w:link w:val="Titre1Car"/>
    <w:uiPriority w:val="9"/>
    <w:qFormat/>
    <w:rsid w:val="00FB216E"/>
    <w:pPr>
      <w:outlineLvl w:val="0"/>
    </w:pPr>
    <w:rPr>
      <w:rFonts w:ascii="Arial" w:eastAsiaTheme="majorEastAsia" w:hAnsi="Arial" w:cstheme="majorBidi"/>
      <w:b/>
      <w:bCs/>
      <w:sz w:val="40"/>
      <w:szCs w:val="28"/>
      <w:lang w:val="fr-CA"/>
    </w:rPr>
  </w:style>
  <w:style w:type="paragraph" w:styleId="Titre2">
    <w:name w:val="heading 2"/>
    <w:basedOn w:val="Normal"/>
    <w:next w:val="Normal"/>
    <w:link w:val="Titre2Car"/>
    <w:uiPriority w:val="9"/>
    <w:unhideWhenUsed/>
    <w:qFormat/>
    <w:rsid w:val="00FB216E"/>
    <w:pPr>
      <w:outlineLvl w:val="1"/>
    </w:pPr>
    <w:rPr>
      <w:rFonts w:ascii="Arial" w:eastAsiaTheme="majorEastAsia" w:hAnsi="Arial" w:cstheme="majorBidi"/>
      <w:b/>
      <w:bCs/>
      <w:sz w:val="36"/>
      <w:szCs w:val="26"/>
      <w:lang w:val="fr-CA"/>
    </w:rPr>
  </w:style>
  <w:style w:type="paragraph" w:styleId="Titre3">
    <w:name w:val="heading 3"/>
    <w:basedOn w:val="Normal"/>
    <w:next w:val="Normal"/>
    <w:link w:val="Titre3Car"/>
    <w:uiPriority w:val="9"/>
    <w:unhideWhenUsed/>
    <w:qFormat/>
    <w:rsid w:val="00FB216E"/>
    <w:pPr>
      <w:outlineLvl w:val="2"/>
    </w:pPr>
    <w:rPr>
      <w:rFonts w:ascii="Arial" w:eastAsiaTheme="majorEastAsia" w:hAnsi="Arial" w:cstheme="majorBidi"/>
      <w:b/>
      <w:bCs/>
      <w:sz w:val="32"/>
      <w:lang w:val="fr-CA"/>
    </w:rPr>
  </w:style>
  <w:style w:type="paragraph" w:styleId="Titre4">
    <w:name w:val="heading 4"/>
    <w:basedOn w:val="Normal"/>
    <w:next w:val="Normal"/>
    <w:link w:val="Titre4Car"/>
    <w:uiPriority w:val="9"/>
    <w:unhideWhenUsed/>
    <w:qFormat/>
    <w:rsid w:val="00F7664F"/>
    <w:pPr>
      <w:outlineLvl w:val="3"/>
    </w:pPr>
    <w:rPr>
      <w:rFonts w:ascii="Arial" w:eastAsiaTheme="majorEastAsia" w:hAnsi="Arial" w:cstheme="majorBidi"/>
      <w:bCs/>
      <w:i/>
      <w:iCs/>
      <w:color w:val="000000" w:themeColor="text1"/>
      <w:sz w:val="32"/>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216E"/>
    <w:rPr>
      <w:rFonts w:ascii="Arial" w:eastAsiaTheme="majorEastAsia" w:hAnsi="Arial" w:cstheme="majorBidi"/>
      <w:b/>
      <w:bCs/>
      <w:sz w:val="40"/>
      <w:szCs w:val="28"/>
    </w:rPr>
  </w:style>
  <w:style w:type="character" w:customStyle="1" w:styleId="Titre2Car">
    <w:name w:val="Titre 2 Car"/>
    <w:basedOn w:val="Policepardfaut"/>
    <w:link w:val="Titre2"/>
    <w:uiPriority w:val="9"/>
    <w:rsid w:val="00FB216E"/>
    <w:rPr>
      <w:rFonts w:ascii="Arial" w:eastAsiaTheme="majorEastAsia" w:hAnsi="Arial" w:cstheme="majorBidi"/>
      <w:b/>
      <w:bCs/>
      <w:sz w:val="36"/>
      <w:szCs w:val="26"/>
    </w:rPr>
  </w:style>
  <w:style w:type="character" w:customStyle="1" w:styleId="Titre3Car">
    <w:name w:val="Titre 3 Car"/>
    <w:basedOn w:val="Policepardfaut"/>
    <w:link w:val="Titre3"/>
    <w:uiPriority w:val="9"/>
    <w:rsid w:val="00FB216E"/>
    <w:rPr>
      <w:rFonts w:ascii="Arial" w:eastAsiaTheme="majorEastAsia" w:hAnsi="Arial" w:cstheme="majorBidi"/>
      <w:b/>
      <w:bCs/>
      <w:sz w:val="32"/>
      <w:szCs w:val="24"/>
    </w:rPr>
  </w:style>
  <w:style w:type="paragraph" w:customStyle="1" w:styleId="Default">
    <w:name w:val="Default"/>
    <w:rsid w:val="005E2AF1"/>
    <w:pPr>
      <w:autoSpaceDE w:val="0"/>
      <w:autoSpaceDN w:val="0"/>
      <w:adjustRightInd w:val="0"/>
    </w:pPr>
    <w:rPr>
      <w:rFonts w:ascii="Times New Roman" w:hAnsi="Times New Roman"/>
      <w:color w:val="000000"/>
      <w:sz w:val="24"/>
      <w:szCs w:val="24"/>
    </w:rPr>
  </w:style>
  <w:style w:type="character" w:styleId="Lienhypertexte">
    <w:name w:val="Hyperlink"/>
    <w:basedOn w:val="Policepardfaut"/>
    <w:uiPriority w:val="99"/>
    <w:unhideWhenUsed/>
    <w:rsid w:val="00F433E2"/>
    <w:rPr>
      <w:color w:val="0000FF" w:themeColor="hyperlink"/>
      <w:u w:val="single"/>
    </w:rPr>
  </w:style>
  <w:style w:type="character" w:customStyle="1" w:styleId="Titre4Car">
    <w:name w:val="Titre 4 Car"/>
    <w:basedOn w:val="Policepardfaut"/>
    <w:link w:val="Titre4"/>
    <w:uiPriority w:val="9"/>
    <w:rsid w:val="00F7664F"/>
    <w:rPr>
      <w:rFonts w:ascii="Arial" w:eastAsiaTheme="majorEastAsia" w:hAnsi="Arial" w:cstheme="majorBidi"/>
      <w:bCs/>
      <w:i/>
      <w:iCs/>
      <w:color w:val="000000" w:themeColor="text1"/>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c.ca" TargetMode="External"/><Relationship Id="rId3" Type="http://schemas.openxmlformats.org/officeDocument/2006/relationships/settings" Target="settings.xml"/><Relationship Id="rId7" Type="http://schemas.openxmlformats.org/officeDocument/2006/relationships/hyperlink" Target="mailto:nfrench@itac.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cc.ca/fr" TargetMode="External"/><Relationship Id="rId11" Type="http://schemas.openxmlformats.org/officeDocument/2006/relationships/theme" Target="theme/theme1.xml"/><Relationship Id="rId5" Type="http://schemas.openxmlformats.org/officeDocument/2006/relationships/hyperlink" Target="https://www.aodaalliance.org/wp-content/uploads/2018/09/Sept-27-2018-%20AODA-Alliance-Brief-to-Parliament-on-Bill-C81-Final-Version.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ic.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1830</Words>
  <Characters>10071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Jowelle</dc:creator>
  <cp:lastModifiedBy>Jowelle</cp:lastModifiedBy>
  <cp:revision>4</cp:revision>
  <dcterms:created xsi:type="dcterms:W3CDTF">2018-11-29T20:19:00Z</dcterms:created>
  <dcterms:modified xsi:type="dcterms:W3CDTF">2018-11-29T21:01:00Z</dcterms:modified>
</cp:coreProperties>
</file>